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D42" w:rsidRPr="008A3D42" w:rsidRDefault="008A3D42" w:rsidP="008A3D42">
      <w:pPr>
        <w:pBdr>
          <w:bottom w:val="single" w:sz="4" w:space="1" w:color="000000"/>
        </w:pBdr>
        <w:spacing w:after="60" w:line="240" w:lineRule="auto"/>
        <w:outlineLvl w:val="1"/>
        <w:rPr>
          <w:rFonts w:ascii="Times New Roman" w:eastAsia="Times New Roman" w:hAnsi="Times New Roman" w:cs="Times New Roman"/>
          <w:b/>
          <w:bCs/>
          <w:sz w:val="36"/>
          <w:szCs w:val="36"/>
        </w:rPr>
      </w:pPr>
      <w:r w:rsidRPr="008A3D42">
        <w:rPr>
          <w:rFonts w:ascii="Arial" w:eastAsia="Times New Roman" w:hAnsi="Arial" w:cs="Arial"/>
          <w:b/>
          <w:bCs/>
          <w:smallCaps/>
          <w:color w:val="0070C0"/>
          <w:sz w:val="26"/>
          <w:szCs w:val="26"/>
        </w:rPr>
        <w:t>SESSION 4 – ASSESSMENT TOOLS AND GUIDELINES: AN INTRODUCTION</w:t>
      </w:r>
    </w:p>
    <w:p w:rsidR="008A3D42" w:rsidRPr="008A3D42" w:rsidRDefault="008A3D42" w:rsidP="008A3D42">
      <w:pPr>
        <w:spacing w:after="240" w:line="240" w:lineRule="auto"/>
        <w:rPr>
          <w:rFonts w:ascii="Times New Roman" w:eastAsia="Times New Roman" w:hAnsi="Times New Roman" w:cs="Times New Roman"/>
          <w:sz w:val="24"/>
          <w:szCs w:val="24"/>
        </w:rPr>
      </w:pPr>
    </w:p>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b/>
          <w:bCs/>
          <w:color w:val="000000"/>
          <w:sz w:val="24"/>
          <w:szCs w:val="24"/>
        </w:rPr>
        <w:t>Sunday, September 17, 2017</w:t>
      </w:r>
    </w:p>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color w:val="000000"/>
          <w:sz w:val="24"/>
          <w:szCs w:val="24"/>
        </w:rPr>
        <w:t xml:space="preserve">13:00 – 14:30 </w:t>
      </w:r>
    </w:p>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color w:val="000000"/>
          <w:sz w:val="24"/>
          <w:szCs w:val="24"/>
        </w:rPr>
        <w:t>Expected Time: 90 min (approx. 1.5 hours)</w:t>
      </w:r>
    </w:p>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color w:val="000000"/>
          <w:sz w:val="24"/>
          <w:szCs w:val="24"/>
        </w:rPr>
        <w:t>Facilitators: Dan and Joerg</w:t>
      </w:r>
    </w:p>
    <w:p w:rsidR="008A3D42" w:rsidRPr="008A3D42" w:rsidRDefault="008A3D42" w:rsidP="008A3D4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4"/>
        <w:gridCol w:w="2824"/>
        <w:gridCol w:w="5542"/>
      </w:tblGrid>
      <w:tr w:rsidR="008A3D42" w:rsidRPr="008A3D42" w:rsidTr="008A3D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b/>
                <w:bCs/>
                <w:color w:val="000000"/>
                <w:sz w:val="24"/>
                <w:szCs w:val="24"/>
              </w:rPr>
              <w:t>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b/>
                <w:bCs/>
                <w:color w:val="000000"/>
                <w:sz w:val="24"/>
                <w:szCs w:val="24"/>
              </w:rPr>
              <w:t>TOPIC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jc w:val="center"/>
              <w:rPr>
                <w:rFonts w:ascii="Times New Roman" w:eastAsia="Times New Roman" w:hAnsi="Times New Roman" w:cs="Times New Roman"/>
                <w:sz w:val="24"/>
                <w:szCs w:val="24"/>
              </w:rPr>
            </w:pPr>
            <w:r w:rsidRPr="008A3D42">
              <w:rPr>
                <w:rFonts w:ascii="Georgia" w:eastAsia="Times New Roman" w:hAnsi="Georgia" w:cs="Times New Roman"/>
                <w:b/>
                <w:bCs/>
                <w:color w:val="000000"/>
                <w:sz w:val="24"/>
                <w:szCs w:val="24"/>
              </w:rPr>
              <w:t>NOTES</w:t>
            </w:r>
          </w:p>
        </w:tc>
      </w:tr>
      <w:tr w:rsidR="008A3D42" w:rsidRPr="008A3D42" w:rsidTr="008A3D4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13:00 - 13:05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After lunch video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ind w:left="15" w:hanging="285"/>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V</w:t>
            </w:r>
            <w:r w:rsidR="007619E9">
              <w:rPr>
                <w:rFonts w:ascii="Times New Roman" w:eastAsia="Times New Roman" w:hAnsi="Times New Roman" w:cs="Times New Roman"/>
                <w:color w:val="000000"/>
                <w:sz w:val="24"/>
                <w:szCs w:val="24"/>
              </w:rPr>
              <w:t>V</w:t>
            </w:r>
            <w:r w:rsidRPr="008A3D42">
              <w:rPr>
                <w:rFonts w:ascii="Times New Roman" w:eastAsia="Times New Roman" w:hAnsi="Times New Roman" w:cs="Times New Roman"/>
                <w:color w:val="000000"/>
                <w:sz w:val="24"/>
                <w:szCs w:val="24"/>
              </w:rPr>
              <w:t>ideo TBC</w:t>
            </w:r>
          </w:p>
        </w:tc>
      </w:tr>
      <w:tr w:rsidR="008A3D42" w:rsidRPr="008A3D42" w:rsidTr="008A3D4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13:05 - 13:45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Group work around scenarios, looking at tools, guidelines and data collection methods available when conducting (Joerg)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numPr>
                <w:ilvl w:val="0"/>
                <w:numId w:val="4"/>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Introduction ppt to assessments: brainstorming around assessment objectives and principles, followed by challenges (5 mins)</w:t>
            </w:r>
          </w:p>
          <w:p w:rsidR="008A3D42" w:rsidRPr="008A3D42" w:rsidRDefault="008A3D42" w:rsidP="008A3D42">
            <w:pPr>
              <w:numPr>
                <w:ilvl w:val="0"/>
                <w:numId w:val="4"/>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Group work on the five different scenarios (consider changing the groups working on the different scenarios):</w:t>
            </w:r>
          </w:p>
          <w:p w:rsidR="008A3D42" w:rsidRPr="008A3D42" w:rsidRDefault="008A3D42" w:rsidP="008A3D42">
            <w:pPr>
              <w:numPr>
                <w:ilvl w:val="0"/>
                <w:numId w:val="5"/>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What are the guidelines/tools and data collection methods you would use to assess the environmental impacts of this particular emergency? Participants asked to take into account their own background and mission experience. (10 min.)</w:t>
            </w:r>
          </w:p>
          <w:p w:rsidR="008A3D42" w:rsidRPr="008A3D42" w:rsidRDefault="008A3D42" w:rsidP="008A3D42">
            <w:pPr>
              <w:numPr>
                <w:ilvl w:val="0"/>
                <w:numId w:val="6"/>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Reveal predeveloped flipchart outlining two columns: generic tools, specific tools and methods. Ask the groups to then (either do this one group at a time or all together), paste the tools onto the flipchart. Discuss the outcomes around the following questions (10 min):</w:t>
            </w:r>
          </w:p>
          <w:p w:rsidR="008A3D42" w:rsidRPr="008A3D42" w:rsidRDefault="008A3D42" w:rsidP="008A3D42">
            <w:pPr>
              <w:numPr>
                <w:ilvl w:val="0"/>
                <w:numId w:val="7"/>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Is it a generic or specific tool?</w:t>
            </w:r>
          </w:p>
          <w:p w:rsidR="008A3D42" w:rsidRPr="008A3D42" w:rsidRDefault="008A3D42" w:rsidP="008A3D42">
            <w:pPr>
              <w:numPr>
                <w:ilvl w:val="0"/>
                <w:numId w:val="7"/>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 xml:space="preserve">What data do you need to use this tool? </w:t>
            </w:r>
          </w:p>
          <w:p w:rsidR="008A3D42" w:rsidRPr="008A3D42" w:rsidRDefault="008A3D42" w:rsidP="008A3D42">
            <w:pPr>
              <w:numPr>
                <w:ilvl w:val="0"/>
                <w:numId w:val="7"/>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Why is it useful, for what would you use it?</w:t>
            </w:r>
          </w:p>
          <w:p w:rsidR="008A3D42" w:rsidRPr="008A3D42" w:rsidRDefault="008A3D42" w:rsidP="008A3D42">
            <w:pPr>
              <w:numPr>
                <w:ilvl w:val="0"/>
                <w:numId w:val="7"/>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What specific data collection methods would be useful?</w:t>
            </w:r>
          </w:p>
          <w:p w:rsidR="008A3D42" w:rsidRPr="008A3D42" w:rsidRDefault="008A3D42" w:rsidP="008A3D42">
            <w:pPr>
              <w:numPr>
                <w:ilvl w:val="0"/>
                <w:numId w:val="8"/>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Final question: are there any tools missing that you would need? (discussion in plenary, 5 min.)</w:t>
            </w:r>
          </w:p>
          <w:p w:rsidR="008A3D42" w:rsidRPr="008A3D42" w:rsidRDefault="008A3D42" w:rsidP="008A3D42">
            <w:pPr>
              <w:numPr>
                <w:ilvl w:val="0"/>
                <w:numId w:val="8"/>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Summary conclusions on assessment tools and data collection methods, focusing also on remote assessments and back-office support (15 min)</w:t>
            </w:r>
          </w:p>
        </w:tc>
      </w:tr>
      <w:tr w:rsidR="008A3D42" w:rsidRPr="008A3D42" w:rsidTr="008A3D42">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13:45 - 14:30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spacing w:after="0" w:line="240" w:lineRule="auto"/>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Environment in the MIRA (Dan)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PPT explaining MIRA: cycle, purpose, capabilities, situations in which it can be employed, analytical framework, process. </w:t>
            </w:r>
          </w:p>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Group work - slide 21 (5 min): For the situation you have been working on in your groups, what would be a relevant objective for the incorporation of environment in the MIRA? </w:t>
            </w:r>
          </w:p>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lastRenderedPageBreak/>
              <w:t>Explanation on secondary data review.</w:t>
            </w:r>
          </w:p>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Group work - slide 23 (5 min): For your disaster situations, brainstorm a list of the most relevant sources of pre-crisis secondary data on environment? </w:t>
            </w:r>
          </w:p>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Explanation on situation analysis and primary data collection.</w:t>
            </w:r>
          </w:p>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Group work - slide 32 (15 min): review the direct observation and key informant interview tools. How could you strengthen the environmental component? </w:t>
            </w:r>
          </w:p>
          <w:p w:rsidR="008A3D42" w:rsidRPr="008A3D42" w:rsidRDefault="008A3D42" w:rsidP="008A3D42">
            <w:pPr>
              <w:numPr>
                <w:ilvl w:val="0"/>
                <w:numId w:val="9"/>
              </w:numPr>
              <w:spacing w:after="0" w:line="240" w:lineRule="auto"/>
              <w:ind w:left="375"/>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Joint analysis and MIRA report.</w:t>
            </w:r>
          </w:p>
        </w:tc>
      </w:tr>
    </w:tbl>
    <w:p w:rsidR="008A3D42" w:rsidRPr="008A3D42" w:rsidRDefault="008A3D42" w:rsidP="008A3D42">
      <w:pPr>
        <w:spacing w:after="0" w:line="240" w:lineRule="auto"/>
        <w:rPr>
          <w:rFonts w:ascii="Times New Roman" w:eastAsia="Times New Roman" w:hAnsi="Times New Roman" w:cs="Times New Roman"/>
          <w:sz w:val="24"/>
          <w:szCs w:val="24"/>
        </w:rPr>
      </w:pPr>
    </w:p>
    <w:p w:rsidR="008A3D42" w:rsidRPr="008A3D42" w:rsidRDefault="008A3D42" w:rsidP="008A3D42">
      <w:pPr>
        <w:pBdr>
          <w:bottom w:val="single" w:sz="4" w:space="1" w:color="000000"/>
        </w:pBdr>
        <w:spacing w:after="60" w:line="240" w:lineRule="auto"/>
        <w:outlineLvl w:val="1"/>
        <w:rPr>
          <w:rFonts w:ascii="Times New Roman" w:eastAsia="Times New Roman" w:hAnsi="Times New Roman" w:cs="Times New Roman"/>
          <w:b/>
          <w:bCs/>
          <w:sz w:val="36"/>
          <w:szCs w:val="36"/>
        </w:rPr>
      </w:pPr>
      <w:r w:rsidRPr="008A3D42">
        <w:rPr>
          <w:rFonts w:ascii="Georgia" w:eastAsia="Times New Roman" w:hAnsi="Georgia" w:cs="Times New Roman"/>
          <w:b/>
          <w:bCs/>
          <w:color w:val="000000"/>
          <w:sz w:val="24"/>
          <w:szCs w:val="24"/>
        </w:rPr>
        <w:t>Learning Objectives:</w:t>
      </w:r>
    </w:p>
    <w:p w:rsidR="008A3D42" w:rsidRPr="008A3D42" w:rsidRDefault="008A3D42" w:rsidP="008A3D42">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Recall the principles of environmental assessments</w:t>
      </w:r>
    </w:p>
    <w:p w:rsidR="008A3D42" w:rsidRPr="008A3D42" w:rsidRDefault="008A3D42" w:rsidP="008A3D42">
      <w:pPr>
        <w:numPr>
          <w:ilvl w:val="0"/>
          <w:numId w:val="10"/>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Outline how environmental assessments feed into other humanitarian / emergency response assessments</w:t>
      </w:r>
    </w:p>
    <w:p w:rsidR="008A3D42" w:rsidRPr="008A3D42" w:rsidRDefault="008A3D42" w:rsidP="008A3D42">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List relevant environmental tools and guidelines for common disaster scenarios</w:t>
      </w:r>
    </w:p>
    <w:p w:rsidR="008A3D42" w:rsidRPr="008A3D42" w:rsidRDefault="008A3D42" w:rsidP="008A3D42">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Record resources and services available to the environmental expert to carry out his/her duties</w:t>
      </w:r>
    </w:p>
    <w:p w:rsidR="008A3D42" w:rsidRPr="008A3D42" w:rsidRDefault="008A3D42" w:rsidP="008A3D42">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Name at least five tools and services available for addressing cross-cutting issues across the humanitarian programme cycle (i.e. Flash Environmental Assessment tool, Environmental Field Advisors, Rapid Environmental Impact Assessments, Post Disaster Needs Assessments, Disaster Waste Management Guidelines, Environmental Experts’ Hub)</w:t>
      </w:r>
    </w:p>
    <w:p w:rsidR="008A3D42" w:rsidRPr="008A3D42" w:rsidRDefault="008A3D42" w:rsidP="008A3D42">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Relate different tools to the various types of emergency scenarios and environmental situations (focused or generic, rapid or detailed)</w:t>
      </w:r>
    </w:p>
    <w:p w:rsidR="008A3D42" w:rsidRPr="008A3D42" w:rsidRDefault="008A3D42" w:rsidP="008A3D42">
      <w:pPr>
        <w:numPr>
          <w:ilvl w:val="0"/>
          <w:numId w:val="10"/>
        </w:numPr>
        <w:spacing w:after="0" w:line="240" w:lineRule="auto"/>
        <w:jc w:val="both"/>
        <w:textAlignment w:val="baseline"/>
        <w:rPr>
          <w:rFonts w:ascii="Arial" w:eastAsia="Times New Roman" w:hAnsi="Arial" w:cs="Arial"/>
          <w:color w:val="000000"/>
          <w:sz w:val="24"/>
          <w:szCs w:val="24"/>
        </w:rPr>
      </w:pPr>
      <w:r w:rsidRPr="008A3D42">
        <w:rPr>
          <w:rFonts w:ascii="Times New Roman" w:eastAsia="Times New Roman" w:hAnsi="Times New Roman" w:cs="Times New Roman"/>
          <w:color w:val="000000"/>
          <w:sz w:val="24"/>
          <w:szCs w:val="24"/>
        </w:rPr>
        <w:t>Highlight entry points for including environment into the Multi-Cluster/Sector Initial Rapid Assessment (MIRA) in the early stages of an emergency</w:t>
      </w:r>
    </w:p>
    <w:p w:rsidR="008A3D42" w:rsidRPr="008A3D42" w:rsidRDefault="008A3D42" w:rsidP="008A3D42">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Foster the knowledge of existing tools and services and explore and share good practices</w:t>
      </w:r>
    </w:p>
    <w:p w:rsidR="008A3D42" w:rsidRPr="008A3D42" w:rsidRDefault="008A3D42" w:rsidP="008A3D42">
      <w:pPr>
        <w:spacing w:after="240" w:line="240" w:lineRule="auto"/>
        <w:rPr>
          <w:rFonts w:ascii="Times New Roman" w:eastAsia="Times New Roman" w:hAnsi="Times New Roman" w:cs="Times New Roman"/>
          <w:sz w:val="24"/>
          <w:szCs w:val="24"/>
        </w:rPr>
      </w:pPr>
    </w:p>
    <w:p w:rsidR="008A3D42" w:rsidRPr="008A3D42" w:rsidRDefault="008A3D42" w:rsidP="008A3D42">
      <w:pPr>
        <w:pBdr>
          <w:bottom w:val="single" w:sz="4" w:space="1" w:color="000000"/>
        </w:pBdr>
        <w:spacing w:after="60" w:line="240" w:lineRule="auto"/>
        <w:outlineLvl w:val="1"/>
        <w:rPr>
          <w:rFonts w:ascii="Times New Roman" w:eastAsia="Times New Roman" w:hAnsi="Times New Roman" w:cs="Times New Roman"/>
          <w:b/>
          <w:bCs/>
          <w:sz w:val="36"/>
          <w:szCs w:val="36"/>
        </w:rPr>
      </w:pPr>
      <w:r w:rsidRPr="008A3D42">
        <w:rPr>
          <w:rFonts w:ascii="Georgia" w:eastAsia="Times New Roman" w:hAnsi="Georgia" w:cs="Times New Roman"/>
          <w:b/>
          <w:bCs/>
          <w:color w:val="000000"/>
          <w:sz w:val="24"/>
          <w:szCs w:val="24"/>
        </w:rPr>
        <w:t>Supporting documents:</w:t>
      </w:r>
    </w:p>
    <w:p w:rsidR="008A3D42" w:rsidRPr="008A3D42" w:rsidRDefault="008A3D42" w:rsidP="008A3D42">
      <w:pPr>
        <w:spacing w:after="0" w:line="240" w:lineRule="auto"/>
        <w:jc w:val="both"/>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4.1 Coloured papers for each group</w:t>
      </w:r>
    </w:p>
    <w:p w:rsidR="008A3D42" w:rsidRPr="008A3D42" w:rsidRDefault="008A3D42" w:rsidP="008A3D42">
      <w:pPr>
        <w:spacing w:after="0" w:line="240" w:lineRule="auto"/>
        <w:jc w:val="both"/>
        <w:rPr>
          <w:rFonts w:ascii="Times New Roman" w:eastAsia="Times New Roman" w:hAnsi="Times New Roman" w:cs="Times New Roman"/>
          <w:sz w:val="24"/>
          <w:szCs w:val="24"/>
        </w:rPr>
      </w:pPr>
      <w:r w:rsidRPr="008A3D42">
        <w:rPr>
          <w:rFonts w:ascii="Times New Roman" w:eastAsia="Times New Roman" w:hAnsi="Times New Roman" w:cs="Times New Roman"/>
          <w:color w:val="000000"/>
          <w:sz w:val="24"/>
          <w:szCs w:val="24"/>
        </w:rPr>
        <w:t>4.2 PPT summary presentation</w:t>
      </w:r>
    </w:p>
    <w:p w:rsidR="008A3D42" w:rsidRPr="008A3D42" w:rsidRDefault="008A3D42" w:rsidP="008A3D42">
      <w:pPr>
        <w:spacing w:after="240" w:line="240" w:lineRule="auto"/>
        <w:rPr>
          <w:rFonts w:ascii="Times New Roman" w:eastAsia="Times New Roman" w:hAnsi="Times New Roman" w:cs="Times New Roman"/>
          <w:sz w:val="24"/>
          <w:szCs w:val="24"/>
        </w:rPr>
      </w:pPr>
    </w:p>
    <w:p w:rsidR="008A3D42" w:rsidRPr="008A3D42" w:rsidRDefault="008A3D42" w:rsidP="008A3D42">
      <w:pPr>
        <w:pBdr>
          <w:bottom w:val="single" w:sz="4" w:space="1" w:color="000000"/>
        </w:pBdr>
        <w:spacing w:after="60" w:line="240" w:lineRule="auto"/>
        <w:outlineLvl w:val="1"/>
        <w:rPr>
          <w:rFonts w:ascii="Times New Roman" w:eastAsia="Times New Roman" w:hAnsi="Times New Roman" w:cs="Times New Roman"/>
          <w:b/>
          <w:bCs/>
          <w:sz w:val="36"/>
          <w:szCs w:val="36"/>
        </w:rPr>
      </w:pPr>
      <w:r w:rsidRPr="008A3D42">
        <w:rPr>
          <w:rFonts w:ascii="Georgia" w:eastAsia="Times New Roman" w:hAnsi="Georgia" w:cs="Times New Roman"/>
          <w:b/>
          <w:bCs/>
          <w:color w:val="000000"/>
          <w:sz w:val="24"/>
          <w:szCs w:val="24"/>
        </w:rPr>
        <w:t>Key reading</w:t>
      </w:r>
    </w:p>
    <w:p w:rsidR="008A3D42" w:rsidRPr="008A3D42" w:rsidRDefault="008A3D42" w:rsidP="008A3D42">
      <w:pPr>
        <w:numPr>
          <w:ilvl w:val="0"/>
          <w:numId w:val="11"/>
        </w:numPr>
        <w:spacing w:before="240"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ACAPS: </w:t>
      </w:r>
      <w:hyperlink r:id="rId7" w:history="1">
        <w:r w:rsidRPr="008A3D42">
          <w:rPr>
            <w:rFonts w:ascii="Times New Roman" w:eastAsia="Times New Roman" w:hAnsi="Times New Roman" w:cs="Times New Roman"/>
            <w:color w:val="1155CC"/>
            <w:sz w:val="24"/>
            <w:szCs w:val="24"/>
            <w:u w:val="single"/>
          </w:rPr>
          <w:t>https://www.acaps.org/</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EEC Library: </w:t>
      </w:r>
      <w:hyperlink r:id="rId8" w:history="1">
        <w:r w:rsidRPr="008A3D42">
          <w:rPr>
            <w:rFonts w:ascii="Times New Roman" w:eastAsia="Times New Roman" w:hAnsi="Times New Roman" w:cs="Times New Roman"/>
            <w:color w:val="1155CC"/>
            <w:sz w:val="24"/>
            <w:szCs w:val="24"/>
            <w:u w:val="single"/>
          </w:rPr>
          <w:t>http://www.eecentre.org/library/</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Van Westen, C. J. (2000). Remote sensing for natural disaster management. </w:t>
      </w:r>
      <w:r w:rsidRPr="008A3D42">
        <w:rPr>
          <w:rFonts w:ascii="Times New Roman" w:eastAsia="Times New Roman" w:hAnsi="Times New Roman" w:cs="Times New Roman"/>
          <w:i/>
          <w:iCs/>
          <w:color w:val="000000"/>
          <w:sz w:val="24"/>
          <w:szCs w:val="24"/>
        </w:rPr>
        <w:t>International Archives of Photogrammetry and Remote Sensing</w:t>
      </w:r>
      <w:r w:rsidRPr="008A3D42">
        <w:rPr>
          <w:rFonts w:ascii="Times New Roman" w:eastAsia="Times New Roman" w:hAnsi="Times New Roman" w:cs="Times New Roman"/>
          <w:color w:val="000000"/>
          <w:sz w:val="24"/>
          <w:szCs w:val="24"/>
        </w:rPr>
        <w:t xml:space="preserve">, </w:t>
      </w:r>
      <w:r w:rsidRPr="008A3D42">
        <w:rPr>
          <w:rFonts w:ascii="Times New Roman" w:eastAsia="Times New Roman" w:hAnsi="Times New Roman" w:cs="Times New Roman"/>
          <w:i/>
          <w:iCs/>
          <w:color w:val="000000"/>
          <w:sz w:val="24"/>
          <w:szCs w:val="24"/>
        </w:rPr>
        <w:t>33</w:t>
      </w:r>
      <w:r w:rsidRPr="008A3D42">
        <w:rPr>
          <w:rFonts w:ascii="Times New Roman" w:eastAsia="Times New Roman" w:hAnsi="Times New Roman" w:cs="Times New Roman"/>
          <w:color w:val="000000"/>
          <w:sz w:val="24"/>
          <w:szCs w:val="24"/>
        </w:rPr>
        <w:t xml:space="preserve">(B7/4; PART 7), 1609-1617. Link: </w:t>
      </w:r>
      <w:hyperlink r:id="rId9" w:history="1">
        <w:r w:rsidRPr="008A3D42">
          <w:rPr>
            <w:rFonts w:ascii="Times New Roman" w:eastAsia="Times New Roman" w:hAnsi="Times New Roman" w:cs="Times New Roman"/>
            <w:color w:val="1155CC"/>
            <w:sz w:val="24"/>
            <w:szCs w:val="24"/>
            <w:u w:val="single"/>
          </w:rPr>
          <w:t>http://www.isprs.org/proceedings/XXXIII/congress/part7/1609_XXXIII-part7.pdf</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MapAction Field Guide to Humanitarian Mapping: </w:t>
      </w:r>
      <w:hyperlink r:id="rId10" w:history="1">
        <w:r w:rsidRPr="008A3D42">
          <w:rPr>
            <w:rFonts w:ascii="Times New Roman" w:eastAsia="Times New Roman" w:hAnsi="Times New Roman" w:cs="Times New Roman"/>
            <w:color w:val="1155CC"/>
            <w:sz w:val="24"/>
            <w:szCs w:val="24"/>
            <w:u w:val="single"/>
          </w:rPr>
          <w:t>https://mapaction.org/wp-content/uploads/2016/12/mapaction_field_guide_to_humanitarian_mapping.pdf</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spacing w:after="0" w:line="240" w:lineRule="auto"/>
        <w:rPr>
          <w:rFonts w:ascii="Times New Roman" w:eastAsia="Times New Roman" w:hAnsi="Times New Roman" w:cs="Times New Roman"/>
          <w:sz w:val="24"/>
          <w:szCs w:val="24"/>
        </w:rPr>
      </w:pPr>
    </w:p>
    <w:p w:rsidR="008A3D42" w:rsidRPr="008A3D42" w:rsidRDefault="008A3D42" w:rsidP="008A3D42">
      <w:pPr>
        <w:pBdr>
          <w:bottom w:val="single" w:sz="4" w:space="1" w:color="000000"/>
        </w:pBdr>
        <w:spacing w:after="60" w:line="240" w:lineRule="auto"/>
        <w:outlineLvl w:val="1"/>
        <w:rPr>
          <w:rFonts w:ascii="Times New Roman" w:eastAsia="Times New Roman" w:hAnsi="Times New Roman" w:cs="Times New Roman"/>
          <w:b/>
          <w:bCs/>
          <w:sz w:val="36"/>
          <w:szCs w:val="36"/>
        </w:rPr>
      </w:pPr>
      <w:r w:rsidRPr="008A3D42">
        <w:rPr>
          <w:rFonts w:ascii="Georgia" w:eastAsia="Times New Roman" w:hAnsi="Georgia" w:cs="Times New Roman"/>
          <w:b/>
          <w:bCs/>
          <w:color w:val="000000"/>
          <w:sz w:val="24"/>
          <w:szCs w:val="24"/>
        </w:rPr>
        <w:lastRenderedPageBreak/>
        <w:t>Additional reading</w:t>
      </w:r>
    </w:p>
    <w:p w:rsidR="008A3D42" w:rsidRPr="008A3D42" w:rsidRDefault="008A3D42" w:rsidP="008A3D42">
      <w:pPr>
        <w:numPr>
          <w:ilvl w:val="0"/>
          <w:numId w:val="12"/>
        </w:numPr>
        <w:spacing w:before="240"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Humanitarian Needs Assessment - The Good Enough Guide: </w:t>
      </w:r>
      <w:hyperlink r:id="rId11" w:history="1">
        <w:r w:rsidRPr="008A3D42">
          <w:rPr>
            <w:rFonts w:ascii="Times New Roman" w:eastAsia="Times New Roman" w:hAnsi="Times New Roman" w:cs="Times New Roman"/>
            <w:color w:val="1155CC"/>
            <w:sz w:val="24"/>
            <w:szCs w:val="24"/>
            <w:u w:val="single"/>
          </w:rPr>
          <w:t>http://reliefweb.int/sites/reliefweb.int/files/resources/h-humanitarian-needs-assessment-the-good-enough-guide.pdf</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Collection of various environmental assessment guidelines and tools: </w:t>
      </w:r>
      <w:hyperlink r:id="rId12" w:history="1">
        <w:r w:rsidRPr="008A3D42">
          <w:rPr>
            <w:rFonts w:ascii="Times New Roman" w:eastAsia="Times New Roman" w:hAnsi="Times New Roman" w:cs="Times New Roman"/>
            <w:color w:val="1155CC"/>
            <w:sz w:val="24"/>
            <w:szCs w:val="24"/>
            <w:u w:val="single"/>
          </w:rPr>
          <w:t>https://www.humanitarianresponse.info/en/topics/environment/page/environmental-assessment-planning-monitoring-and-evaluation</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Have a look at </w:t>
      </w:r>
      <w:hyperlink r:id="rId13" w:history="1">
        <w:r w:rsidRPr="008A3D42">
          <w:rPr>
            <w:rFonts w:ascii="Times New Roman" w:eastAsia="Times New Roman" w:hAnsi="Times New Roman" w:cs="Times New Roman"/>
            <w:color w:val="1155CC"/>
            <w:sz w:val="24"/>
            <w:szCs w:val="24"/>
            <w:u w:val="single"/>
          </w:rPr>
          <w:t>https://disasterscharter.org/web/guest/home</w:t>
        </w:r>
      </w:hyperlink>
      <w:r w:rsidRPr="008A3D42">
        <w:rPr>
          <w:rFonts w:ascii="Times New Roman" w:eastAsia="Times New Roman" w:hAnsi="Times New Roman" w:cs="Times New Roman"/>
          <w:color w:val="000000"/>
          <w:sz w:val="24"/>
          <w:szCs w:val="24"/>
        </w:rPr>
        <w:t xml:space="preserve"> and </w:t>
      </w:r>
      <w:hyperlink r:id="rId14" w:history="1">
        <w:r w:rsidRPr="008A3D42">
          <w:rPr>
            <w:rFonts w:ascii="Times New Roman" w:eastAsia="Times New Roman" w:hAnsi="Times New Roman" w:cs="Times New Roman"/>
            <w:color w:val="1155CC"/>
            <w:sz w:val="24"/>
            <w:szCs w:val="24"/>
            <w:u w:val="single"/>
          </w:rPr>
          <w:t>https://www.disasterscharter.org/web/guest/activations/charter-activations</w:t>
        </w:r>
      </w:hyperlink>
      <w:r w:rsidRPr="008A3D42">
        <w:rPr>
          <w:rFonts w:ascii="Times New Roman" w:eastAsia="Times New Roman" w:hAnsi="Times New Roman" w:cs="Times New Roman"/>
          <w:color w:val="000000"/>
          <w:sz w:val="24"/>
          <w:szCs w:val="24"/>
        </w:rPr>
        <w:t xml:space="preserve"> </w:t>
      </w:r>
    </w:p>
    <w:p w:rsidR="008A3D42" w:rsidRPr="008A3D42" w:rsidRDefault="008A3D42" w:rsidP="008A3D42">
      <w:pPr>
        <w:numPr>
          <w:ilvl w:val="1"/>
          <w:numId w:val="12"/>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More information: Brochure “Implementing Universal Access” </w:t>
      </w:r>
      <w:hyperlink r:id="rId15" w:history="1">
        <w:r w:rsidRPr="008A3D42">
          <w:rPr>
            <w:rFonts w:ascii="Times New Roman" w:eastAsia="Times New Roman" w:hAnsi="Times New Roman" w:cs="Times New Roman"/>
            <w:color w:val="1155CC"/>
            <w:sz w:val="24"/>
            <w:szCs w:val="24"/>
            <w:u w:val="single"/>
          </w:rPr>
          <w:t>https://www.disasterscharter.org/documents/10180/13699/CharterUniversalAccessBrochureEnglish.pdf/59f36812-1f3f-47b1-982e-5972f6dce352?version=1.0</w:t>
        </w:r>
      </w:hyperlink>
      <w:r w:rsidRPr="008A3D42">
        <w:rPr>
          <w:rFonts w:ascii="Times New Roman" w:eastAsia="Times New Roman" w:hAnsi="Times New Roman" w:cs="Times New Roman"/>
          <w:color w:val="000000"/>
          <w:sz w:val="24"/>
          <w:szCs w:val="24"/>
        </w:rPr>
        <w:t xml:space="preserve"> </w:t>
      </w:r>
    </w:p>
    <w:p w:rsidR="007619E9" w:rsidRDefault="008A3D42" w:rsidP="007619E9">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8A3D42">
        <w:rPr>
          <w:rFonts w:ascii="Times New Roman" w:eastAsia="Times New Roman" w:hAnsi="Times New Roman" w:cs="Times New Roman"/>
          <w:color w:val="000000"/>
          <w:sz w:val="24"/>
          <w:szCs w:val="24"/>
        </w:rPr>
        <w:t xml:space="preserve">Van Westen, C. J. (2013). Remote Sensing and GIS for Natural Hazards Assessment and Disaster Risk Management. In J. F. Schroder, &amp; M. P. Bishop (Eds.), Treatise on Geomorphology (pp. -). Remote Sensing and GIScience in Geomorphology; No. 3). San Diego: Academic Press. Link: </w:t>
      </w:r>
      <w:hyperlink r:id="rId16" w:history="1">
        <w:r w:rsidRPr="008A3D42">
          <w:rPr>
            <w:rFonts w:ascii="Times New Roman" w:eastAsia="Times New Roman" w:hAnsi="Times New Roman" w:cs="Times New Roman"/>
            <w:color w:val="1155CC"/>
            <w:sz w:val="24"/>
            <w:szCs w:val="24"/>
            <w:u w:val="single"/>
          </w:rPr>
          <w:t>https://goo.gl/YMbH2W</w:t>
        </w:r>
      </w:hyperlink>
      <w:r w:rsidRPr="008A3D42">
        <w:rPr>
          <w:rFonts w:ascii="Times New Roman" w:eastAsia="Times New Roman" w:hAnsi="Times New Roman" w:cs="Times New Roman"/>
          <w:color w:val="000000"/>
          <w:sz w:val="24"/>
          <w:szCs w:val="24"/>
        </w:rPr>
        <w:t xml:space="preserve"> </w:t>
      </w:r>
    </w:p>
    <w:p w:rsidR="006D50CF" w:rsidRPr="007619E9" w:rsidRDefault="008A3D42" w:rsidP="007619E9">
      <w:pPr>
        <w:numPr>
          <w:ilvl w:val="0"/>
          <w:numId w:val="12"/>
        </w:numPr>
        <w:spacing w:after="0" w:line="240" w:lineRule="auto"/>
        <w:textAlignment w:val="baseline"/>
        <w:rPr>
          <w:rFonts w:ascii="Times New Roman" w:eastAsia="Times New Roman" w:hAnsi="Times New Roman" w:cs="Times New Roman"/>
          <w:color w:val="000000"/>
          <w:sz w:val="24"/>
          <w:szCs w:val="24"/>
        </w:rPr>
      </w:pPr>
      <w:bookmarkStart w:id="0" w:name="_GoBack"/>
      <w:bookmarkEnd w:id="0"/>
      <w:r w:rsidRPr="007619E9">
        <w:rPr>
          <w:rFonts w:ascii="Times New Roman" w:eastAsia="Times New Roman" w:hAnsi="Times New Roman" w:cs="Times New Roman"/>
          <w:color w:val="000000"/>
          <w:sz w:val="24"/>
          <w:szCs w:val="24"/>
        </w:rPr>
        <w:t xml:space="preserve">Copernicus Emergency Management Service: </w:t>
      </w:r>
      <w:hyperlink r:id="rId17" w:anchor="zoom=3&amp;lat=34.21234&amp;lon=4.75651&amp;layers=00B0T" w:history="1">
        <w:r w:rsidRPr="007619E9">
          <w:rPr>
            <w:rFonts w:ascii="Times New Roman" w:eastAsia="Times New Roman" w:hAnsi="Times New Roman" w:cs="Times New Roman"/>
            <w:color w:val="1155CC"/>
            <w:sz w:val="24"/>
            <w:szCs w:val="24"/>
            <w:u w:val="single"/>
          </w:rPr>
          <w:t>http://emergency.copernicus.eu/mapping/copernicus-emergency-management-service#zoom=3&amp;lat=34.21234&amp;lon=4.75651&amp;layers=00B0T</w:t>
        </w:r>
      </w:hyperlink>
    </w:p>
    <w:sectPr w:rsidR="006D50CF" w:rsidRPr="007619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BE" w:rsidRDefault="00315DBE" w:rsidP="00013567">
      <w:pPr>
        <w:spacing w:after="0" w:line="240" w:lineRule="auto"/>
      </w:pPr>
      <w:r>
        <w:separator/>
      </w:r>
    </w:p>
  </w:endnote>
  <w:endnote w:type="continuationSeparator" w:id="0">
    <w:p w:rsidR="00315DBE" w:rsidRDefault="00315DBE" w:rsidP="0001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BE" w:rsidRDefault="00315DBE" w:rsidP="00013567">
      <w:pPr>
        <w:spacing w:after="0" w:line="240" w:lineRule="auto"/>
      </w:pPr>
      <w:r>
        <w:separator/>
      </w:r>
    </w:p>
  </w:footnote>
  <w:footnote w:type="continuationSeparator" w:id="0">
    <w:p w:rsidR="00315DBE" w:rsidRDefault="00315DBE" w:rsidP="00013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3B6"/>
    <w:multiLevelType w:val="multilevel"/>
    <w:tmpl w:val="24321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307BE"/>
    <w:multiLevelType w:val="multilevel"/>
    <w:tmpl w:val="760A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03B1B"/>
    <w:multiLevelType w:val="multilevel"/>
    <w:tmpl w:val="7DD8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94F6C"/>
    <w:multiLevelType w:val="multilevel"/>
    <w:tmpl w:val="678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32552"/>
    <w:multiLevelType w:val="multilevel"/>
    <w:tmpl w:val="D68E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227BF"/>
    <w:multiLevelType w:val="multilevel"/>
    <w:tmpl w:val="1DA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D62AA"/>
    <w:multiLevelType w:val="multilevel"/>
    <w:tmpl w:val="9E72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181"/>
    <w:multiLevelType w:val="multilevel"/>
    <w:tmpl w:val="2A6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84606"/>
    <w:multiLevelType w:val="multilevel"/>
    <w:tmpl w:val="3B5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10A2"/>
    <w:multiLevelType w:val="multilevel"/>
    <w:tmpl w:val="758E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D36841"/>
    <w:multiLevelType w:val="multilevel"/>
    <w:tmpl w:val="B630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54BEA"/>
    <w:multiLevelType w:val="multilevel"/>
    <w:tmpl w:val="4D0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0"/>
  </w:num>
  <w:num w:numId="4">
    <w:abstractNumId w:val="2"/>
  </w:num>
  <w:num w:numId="5">
    <w:abstractNumId w:val="1"/>
  </w:num>
  <w:num w:numId="6">
    <w:abstractNumId w:val="11"/>
  </w:num>
  <w:num w:numId="7">
    <w:abstractNumId w:val="3"/>
  </w:num>
  <w:num w:numId="8">
    <w:abstractNumId w:val="8"/>
  </w:num>
  <w:num w:numId="9">
    <w:abstractNumId w:val="5"/>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18"/>
    <w:rsid w:val="00013567"/>
    <w:rsid w:val="0012719A"/>
    <w:rsid w:val="00206718"/>
    <w:rsid w:val="00315DBE"/>
    <w:rsid w:val="006D50CF"/>
    <w:rsid w:val="007619E9"/>
    <w:rsid w:val="008A3D42"/>
    <w:rsid w:val="00F65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5F9AF"/>
  <w15:chartTrackingRefBased/>
  <w15:docId w15:val="{620E4A6F-D91E-45F1-BDDA-77A4691E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3567"/>
  </w:style>
  <w:style w:type="paragraph" w:styleId="Heading2">
    <w:name w:val="heading 2"/>
    <w:basedOn w:val="Normal"/>
    <w:link w:val="Heading2Char"/>
    <w:uiPriority w:val="9"/>
    <w:qFormat/>
    <w:rsid w:val="008A3D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567"/>
  </w:style>
  <w:style w:type="paragraph" w:styleId="Footer">
    <w:name w:val="footer"/>
    <w:basedOn w:val="Normal"/>
    <w:link w:val="FooterChar"/>
    <w:uiPriority w:val="99"/>
    <w:unhideWhenUsed/>
    <w:rsid w:val="0001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67"/>
  </w:style>
  <w:style w:type="character" w:customStyle="1" w:styleId="Heading2Char">
    <w:name w:val="Heading 2 Char"/>
    <w:basedOn w:val="DefaultParagraphFont"/>
    <w:link w:val="Heading2"/>
    <w:uiPriority w:val="9"/>
    <w:rsid w:val="008A3D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3D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3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7408">
      <w:bodyDiv w:val="1"/>
      <w:marLeft w:val="0"/>
      <w:marRight w:val="0"/>
      <w:marTop w:val="0"/>
      <w:marBottom w:val="0"/>
      <w:divBdr>
        <w:top w:val="none" w:sz="0" w:space="0" w:color="auto"/>
        <w:left w:val="none" w:sz="0" w:space="0" w:color="auto"/>
        <w:bottom w:val="none" w:sz="0" w:space="0" w:color="auto"/>
        <w:right w:val="none" w:sz="0" w:space="0" w:color="auto"/>
      </w:divBdr>
      <w:divsChild>
        <w:div w:id="14975738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centre.org/library/" TargetMode="External"/><Relationship Id="rId13" Type="http://schemas.openxmlformats.org/officeDocument/2006/relationships/hyperlink" Target="https://disasterscharter.org/web/guest/ho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ps.org/" TargetMode="External"/><Relationship Id="rId12" Type="http://schemas.openxmlformats.org/officeDocument/2006/relationships/hyperlink" Target="https://www.humanitarianresponse.info/en/topics/environment/page/environmental-assessment-planning-monitoring-and-evaluation" TargetMode="External"/><Relationship Id="rId17" Type="http://schemas.openxmlformats.org/officeDocument/2006/relationships/hyperlink" Target="http://emergency.copernicus.eu/mapping/copernicus-emergency-management-service" TargetMode="External"/><Relationship Id="rId2" Type="http://schemas.openxmlformats.org/officeDocument/2006/relationships/styles" Target="styles.xml"/><Relationship Id="rId16" Type="http://schemas.openxmlformats.org/officeDocument/2006/relationships/hyperlink" Target="https://goo.gl/YMbH2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liefweb.int/sites/reliefweb.int/files/resources/h-humanitarian-needs-assessment-the-good-enough-guide.pdf" TargetMode="External"/><Relationship Id="rId5" Type="http://schemas.openxmlformats.org/officeDocument/2006/relationships/footnotes" Target="footnotes.xml"/><Relationship Id="rId15" Type="http://schemas.openxmlformats.org/officeDocument/2006/relationships/hyperlink" Target="https://www.disasterscharter.org/documents/10180/13699/CharterUniversalAccessBrochureEnglish.pdf/59f36812-1f3f-47b1-982e-5972f6dce352?version=1.0" TargetMode="External"/><Relationship Id="rId10" Type="http://schemas.openxmlformats.org/officeDocument/2006/relationships/hyperlink" Target="https://mapaction.org/wp-content/uploads/2016/12/mapaction_field_guide_to_humanitarian_mappin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sprs.org/proceedings/XXXIII/congress/part7/1609_XXXIII-part7.pdf" TargetMode="External"/><Relationship Id="rId14" Type="http://schemas.openxmlformats.org/officeDocument/2006/relationships/hyperlink" Target="https://www.disasterscharter.org/web/guest/activations/charter-acti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Hauer</dc:creator>
  <cp:keywords/>
  <dc:description/>
  <cp:lastModifiedBy>Moritz Hauer</cp:lastModifiedBy>
  <cp:revision>4</cp:revision>
  <dcterms:created xsi:type="dcterms:W3CDTF">2017-09-04T14:57:00Z</dcterms:created>
  <dcterms:modified xsi:type="dcterms:W3CDTF">2017-09-14T10:45:00Z</dcterms:modified>
</cp:coreProperties>
</file>