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2168D" w14:textId="77777777" w:rsidR="002C16A3" w:rsidRDefault="00337074" w:rsidP="000E29B8">
      <w:pPr>
        <w:spacing w:before="240"/>
        <w:jc w:val="center"/>
        <w:rPr>
          <w:b/>
          <w:bCs/>
        </w:rPr>
      </w:pPr>
      <w:r>
        <w:rPr>
          <w:b/>
          <w:bCs/>
        </w:rPr>
        <w:t>TERMS OF REFERENCE</w:t>
      </w:r>
    </w:p>
    <w:p w14:paraId="2F54E084" w14:textId="46DE0574" w:rsidR="002C16A3" w:rsidRDefault="00376120" w:rsidP="000E29B8">
      <w:pPr>
        <w:spacing w:after="360"/>
        <w:jc w:val="center"/>
        <w:rPr>
          <w:b/>
          <w:bCs/>
        </w:rPr>
      </w:pPr>
      <w:r w:rsidRPr="00376120">
        <w:rPr>
          <w:b/>
          <w:bCs/>
        </w:rPr>
        <w:t xml:space="preserve">CONSULTANCY FOR DEVELOPING A CITY-WIDE ASSESSMENT </w:t>
      </w:r>
      <w:r>
        <w:rPr>
          <w:b/>
          <w:bCs/>
        </w:rPr>
        <w:t>FOR</w:t>
      </w:r>
      <w:r w:rsidRPr="00376120">
        <w:rPr>
          <w:b/>
          <w:bCs/>
        </w:rPr>
        <w:t xml:space="preserve"> COMMUNITY RESILIENCE </w:t>
      </w:r>
    </w:p>
    <w:p w14:paraId="66360217" w14:textId="77777777" w:rsidR="00D70EDC" w:rsidRPr="002C16A3" w:rsidRDefault="00D70EDC" w:rsidP="002C16A3">
      <w:pPr>
        <w:shd w:val="clear" w:color="auto" w:fill="BFBFBF" w:themeFill="background1" w:themeFillShade="BF"/>
        <w:rPr>
          <w:b/>
          <w:bCs/>
        </w:rPr>
      </w:pPr>
      <w:r w:rsidRPr="002C16A3">
        <w:rPr>
          <w:b/>
          <w:bCs/>
        </w:rPr>
        <w:t>Background:</w:t>
      </w:r>
    </w:p>
    <w:p w14:paraId="40FB19E7" w14:textId="67B4F0DF" w:rsidR="007653D3" w:rsidRDefault="00D70EDC" w:rsidP="00CD2DA9">
      <w:pPr>
        <w:jc w:val="both"/>
      </w:pPr>
      <w:r>
        <w:t xml:space="preserve">Cities are facing increased risk of disasters, and the potential of economic and human losses from natural hazards </w:t>
      </w:r>
      <w:r w:rsidR="00CD2DA9">
        <w:t xml:space="preserve">is increasing </w:t>
      </w:r>
      <w:r w:rsidR="007653D3">
        <w:t xml:space="preserve">due to the rapid and often unplanned development and expansion of cities. Lack of proper infrastructure, weak urban planning, less preparedness and pressure </w:t>
      </w:r>
      <w:r w:rsidR="00BC05D4">
        <w:t xml:space="preserve">on </w:t>
      </w:r>
      <w:r w:rsidR="007653D3">
        <w:t xml:space="preserve">existing resources make cities more vulnerable to disasters.  Climate change is </w:t>
      </w:r>
      <w:r w:rsidR="00BC05D4">
        <w:t>already</w:t>
      </w:r>
      <w:r w:rsidR="007653D3">
        <w:t xml:space="preserve"> increas</w:t>
      </w:r>
      <w:r w:rsidR="00BC05D4">
        <w:t>ing</w:t>
      </w:r>
      <w:r w:rsidR="007653D3">
        <w:t xml:space="preserve"> the frequency and intensity of current hazards and the probability of extreme events, along with emergence of new hazards (e.g. sea</w:t>
      </w:r>
      <w:r w:rsidR="00764CDE">
        <w:t xml:space="preserve"> </w:t>
      </w:r>
      <w:r w:rsidR="00C31323">
        <w:t>level rise</w:t>
      </w:r>
      <w:r w:rsidR="007653D3">
        <w:t xml:space="preserve">) and new vulnerabilities with different spatial and socio-economic impacts. It </w:t>
      </w:r>
      <w:r>
        <w:t xml:space="preserve">brings additional challenges with a growing number and variety of impacts on cities, their critical </w:t>
      </w:r>
      <w:r w:rsidR="00CD2DA9">
        <w:t>s</w:t>
      </w:r>
      <w:r>
        <w:t>ystems, and livelihoods.</w:t>
      </w:r>
      <w:r w:rsidR="00764CDE">
        <w:t xml:space="preserve"> </w:t>
      </w:r>
    </w:p>
    <w:p w14:paraId="7C1D7BD2" w14:textId="13CC4FC5" w:rsidR="00D70EDC" w:rsidRDefault="00966588" w:rsidP="00CD2DA9">
      <w:pPr>
        <w:jc w:val="both"/>
      </w:pPr>
      <w:r>
        <w:t xml:space="preserve">Poor </w:t>
      </w:r>
      <w:r w:rsidR="00764CDE">
        <w:t xml:space="preserve">communities </w:t>
      </w:r>
      <w:r w:rsidR="00D70EDC">
        <w:t xml:space="preserve">living in </w:t>
      </w:r>
      <w:r w:rsidR="00526DA5">
        <w:t xml:space="preserve">the </w:t>
      </w:r>
      <w:r w:rsidR="00764CDE">
        <w:t xml:space="preserve">outskirts of the main </w:t>
      </w:r>
      <w:r w:rsidR="00D70EDC">
        <w:t xml:space="preserve">urban areas and </w:t>
      </w:r>
      <w:r w:rsidR="00EB21D1">
        <w:t xml:space="preserve">in </w:t>
      </w:r>
      <w:r w:rsidR="00D70EDC">
        <w:t>informal settlements</w:t>
      </w:r>
      <w:r w:rsidR="00526DA5">
        <w:t xml:space="preserve"> within </w:t>
      </w:r>
      <w:proofErr w:type="gramStart"/>
      <w:r w:rsidR="00526DA5">
        <w:t>cities</w:t>
      </w:r>
      <w:proofErr w:type="gramEnd"/>
      <w:r w:rsidR="00D70EDC">
        <w:t xml:space="preserve"> are </w:t>
      </w:r>
      <w:r w:rsidR="00764CDE">
        <w:t xml:space="preserve">more </w:t>
      </w:r>
      <w:r w:rsidR="00D70EDC">
        <w:t xml:space="preserve">vulnerable to natural hazards due to their tendency of residing in high-risk areas and </w:t>
      </w:r>
      <w:r w:rsidR="00BC05D4">
        <w:t xml:space="preserve">not having adequate housing and </w:t>
      </w:r>
      <w:r w:rsidR="00D70EDC">
        <w:t>access to basi</w:t>
      </w:r>
      <w:r w:rsidR="00764CDE">
        <w:t xml:space="preserve">c and emergency services, and </w:t>
      </w:r>
      <w:r w:rsidR="00BC05D4">
        <w:t xml:space="preserve">prevailing </w:t>
      </w:r>
      <w:r w:rsidR="00764CDE">
        <w:t>poverty</w:t>
      </w:r>
      <w:r w:rsidR="00D70EDC">
        <w:t xml:space="preserve">. Better urban </w:t>
      </w:r>
      <w:r w:rsidR="00764CDE">
        <w:t xml:space="preserve">risk assessment and </w:t>
      </w:r>
      <w:r w:rsidR="00D70EDC">
        <w:t xml:space="preserve">management is </w:t>
      </w:r>
      <w:r w:rsidR="00764CDE">
        <w:t xml:space="preserve">critical for identifying and </w:t>
      </w:r>
      <w:r w:rsidR="00D70EDC">
        <w:t xml:space="preserve">reducing disaster and climate change risks </w:t>
      </w:r>
      <w:r>
        <w:t xml:space="preserve">to </w:t>
      </w:r>
      <w:r w:rsidR="00764CDE">
        <w:t>mak</w:t>
      </w:r>
      <w:r>
        <w:t xml:space="preserve">e </w:t>
      </w:r>
      <w:r w:rsidR="00D70EDC">
        <w:t>cities safer</w:t>
      </w:r>
      <w:r w:rsidR="00764CDE">
        <w:t>.</w:t>
      </w:r>
    </w:p>
    <w:p w14:paraId="12241D61" w14:textId="418AA766" w:rsidR="00E211C5" w:rsidRDefault="00D70EDC" w:rsidP="00764CDE">
      <w:pPr>
        <w:jc w:val="both"/>
      </w:pPr>
      <w:r w:rsidRPr="00D70EDC">
        <w:t xml:space="preserve">The Global Disaster Preparedness Center (GDPC) is a joint venture between the International Federation of Red Cross and Red Crescent Societies (IFRC) and the American Red Cross with the aim to expand and enhance disaster preparedness (DP) capacities of the global Red Cross Red Crescent (RCRC) network through a service oriented, demand-driven approach. The GDPC focuses on three areas of services, knowledge management, technical assistance and research, which complement and support relevant efforts being under taken by </w:t>
      </w:r>
      <w:r w:rsidR="00831075">
        <w:t>RCRC N</w:t>
      </w:r>
      <w:r w:rsidRPr="00D70EDC">
        <w:t xml:space="preserve">ational </w:t>
      </w:r>
      <w:r w:rsidR="00831075">
        <w:t>S</w:t>
      </w:r>
      <w:r w:rsidRPr="00D70EDC">
        <w:t>ocieties</w:t>
      </w:r>
      <w:r w:rsidR="0075175B">
        <w:t>.</w:t>
      </w:r>
    </w:p>
    <w:p w14:paraId="0E87CFE8" w14:textId="77777777" w:rsidR="00D70EDC" w:rsidRPr="002C16A3" w:rsidRDefault="00764CDE" w:rsidP="002C16A3">
      <w:pPr>
        <w:shd w:val="clear" w:color="auto" w:fill="BFBFBF" w:themeFill="background1" w:themeFillShade="BF"/>
        <w:rPr>
          <w:b/>
          <w:bCs/>
        </w:rPr>
      </w:pPr>
      <w:r w:rsidRPr="002C16A3">
        <w:rPr>
          <w:b/>
          <w:bCs/>
        </w:rPr>
        <w:t>Purpose:</w:t>
      </w:r>
    </w:p>
    <w:p w14:paraId="0B3FBD91" w14:textId="13BD0F76" w:rsidR="00764CDE" w:rsidRPr="00623195" w:rsidRDefault="002C16A3" w:rsidP="00764CDE">
      <w:pPr>
        <w:pStyle w:val="Subtitle"/>
        <w:jc w:val="both"/>
        <w:rPr>
          <w:sz w:val="22"/>
          <w:szCs w:val="22"/>
        </w:rPr>
      </w:pPr>
      <w:r w:rsidRPr="002C16A3">
        <w:rPr>
          <w:rFonts w:eastAsiaTheme="minorHAnsi" w:cstheme="minorBidi"/>
          <w:iCs w:val="0"/>
          <w:color w:val="auto"/>
          <w:spacing w:val="0"/>
          <w:sz w:val="22"/>
          <w:szCs w:val="22"/>
          <w:lang w:val="en-GB" w:eastAsia="en-US"/>
        </w:rPr>
        <w:t>T</w:t>
      </w:r>
      <w:r w:rsidR="00764CDE" w:rsidRPr="002C16A3">
        <w:rPr>
          <w:rFonts w:eastAsiaTheme="minorHAnsi" w:cstheme="minorBidi"/>
          <w:iCs w:val="0"/>
          <w:color w:val="auto"/>
          <w:spacing w:val="0"/>
          <w:sz w:val="22"/>
          <w:szCs w:val="22"/>
          <w:lang w:val="en-GB" w:eastAsia="en-US"/>
        </w:rPr>
        <w:t xml:space="preserve">he GDPC in collaboration with the IFRC and American Red Cross has received an award from USAID/OFDA to design and test a set of tools and services to assist RCRC National Societies and their partners to create effective city coalitions on community resilience, targeting climate smart resilience and coastal risk reduction in particular. The </w:t>
      </w:r>
      <w:r w:rsidR="00966588">
        <w:rPr>
          <w:rFonts w:eastAsiaTheme="minorHAnsi" w:cstheme="minorBidi"/>
          <w:iCs w:val="0"/>
          <w:color w:val="auto"/>
          <w:spacing w:val="0"/>
          <w:sz w:val="22"/>
          <w:szCs w:val="22"/>
          <w:lang w:val="en-GB" w:eastAsia="en-US"/>
        </w:rPr>
        <w:t>goal</w:t>
      </w:r>
      <w:r w:rsidR="00966588" w:rsidRPr="002C16A3">
        <w:rPr>
          <w:rFonts w:eastAsiaTheme="minorHAnsi" w:cstheme="minorBidi"/>
          <w:iCs w:val="0"/>
          <w:color w:val="auto"/>
          <w:spacing w:val="0"/>
          <w:sz w:val="22"/>
          <w:szCs w:val="22"/>
          <w:lang w:val="en-GB" w:eastAsia="en-US"/>
        </w:rPr>
        <w:t xml:space="preserve"> </w:t>
      </w:r>
      <w:r w:rsidR="00764CDE" w:rsidRPr="002C16A3">
        <w:rPr>
          <w:rFonts w:eastAsiaTheme="minorHAnsi" w:cstheme="minorBidi"/>
          <w:iCs w:val="0"/>
          <w:color w:val="auto"/>
          <w:spacing w:val="0"/>
          <w:sz w:val="22"/>
          <w:szCs w:val="22"/>
          <w:lang w:val="en-GB" w:eastAsia="en-US"/>
        </w:rPr>
        <w:t xml:space="preserve">is that the RCRC National Societies convene relevant partner organizations in lasting coalitions to focus city-wide expertise, capabilities, and resources on priority risks facing vulnerable communities in the city. The coalitions are intended to complement existing urban governance processes led by </w:t>
      </w:r>
      <w:r w:rsidR="0075175B">
        <w:rPr>
          <w:rFonts w:eastAsiaTheme="minorHAnsi" w:cstheme="minorBidi"/>
          <w:iCs w:val="0"/>
          <w:color w:val="auto"/>
          <w:spacing w:val="0"/>
          <w:sz w:val="22"/>
          <w:szCs w:val="22"/>
          <w:lang w:val="en-GB" w:eastAsia="en-US"/>
        </w:rPr>
        <w:t xml:space="preserve">the </w:t>
      </w:r>
      <w:r w:rsidR="00764CDE" w:rsidRPr="002C16A3">
        <w:rPr>
          <w:rFonts w:eastAsiaTheme="minorHAnsi" w:cstheme="minorBidi"/>
          <w:iCs w:val="0"/>
          <w:color w:val="auto"/>
          <w:spacing w:val="0"/>
          <w:sz w:val="22"/>
          <w:szCs w:val="22"/>
          <w:lang w:val="en-GB" w:eastAsia="en-US"/>
        </w:rPr>
        <w:t>local government</w:t>
      </w:r>
      <w:r w:rsidR="0075175B">
        <w:rPr>
          <w:rFonts w:eastAsiaTheme="minorHAnsi" w:cstheme="minorBidi"/>
          <w:iCs w:val="0"/>
          <w:color w:val="auto"/>
          <w:spacing w:val="0"/>
          <w:sz w:val="22"/>
          <w:szCs w:val="22"/>
          <w:lang w:val="en-GB" w:eastAsia="en-US"/>
        </w:rPr>
        <w:t>s</w:t>
      </w:r>
      <w:r w:rsidR="00764CDE" w:rsidRPr="002C16A3">
        <w:rPr>
          <w:rFonts w:eastAsiaTheme="minorHAnsi" w:cstheme="minorBidi"/>
          <w:iCs w:val="0"/>
          <w:color w:val="auto"/>
          <w:spacing w:val="0"/>
          <w:sz w:val="22"/>
          <w:szCs w:val="22"/>
          <w:lang w:val="en-GB" w:eastAsia="en-US"/>
        </w:rPr>
        <w:t xml:space="preserve"> and draw wider support from the business community, universities, civil society organizations, and other stakeholders into city-wide</w:t>
      </w:r>
      <w:r w:rsidR="00764CDE" w:rsidRPr="00966588">
        <w:rPr>
          <w:rFonts w:eastAsiaTheme="minorHAnsi" w:cstheme="minorBidi"/>
          <w:iCs w:val="0"/>
          <w:color w:val="auto"/>
          <w:spacing w:val="0"/>
          <w:sz w:val="22"/>
          <w:szCs w:val="22"/>
          <w:lang w:val="en-GB" w:eastAsia="en-US"/>
        </w:rPr>
        <w:t xml:space="preserve"> civic engagement on community resilience</w:t>
      </w:r>
      <w:r w:rsidR="00764CDE" w:rsidRPr="00623195">
        <w:rPr>
          <w:sz w:val="22"/>
          <w:szCs w:val="22"/>
        </w:rPr>
        <w:t>.</w:t>
      </w:r>
    </w:p>
    <w:p w14:paraId="627229BC" w14:textId="5706D1E5" w:rsidR="00376120" w:rsidRDefault="002C16A3" w:rsidP="00376120">
      <w:pPr>
        <w:jc w:val="both"/>
      </w:pPr>
      <w:r>
        <w:t>One of the key elements and tools for the project is</w:t>
      </w:r>
      <w:r w:rsidR="00112E29">
        <w:t xml:space="preserve"> the development of a community resilience assessment component within</w:t>
      </w:r>
      <w:r w:rsidR="00376120">
        <w:t xml:space="preserve"> </w:t>
      </w:r>
      <w:r>
        <w:t>city-wide risk assessment</w:t>
      </w:r>
      <w:r w:rsidR="00112E29">
        <w:t>s</w:t>
      </w:r>
      <w:r w:rsidR="00C31323">
        <w:t xml:space="preserve"> to inform community resilience solutions and actions</w:t>
      </w:r>
      <w:r w:rsidR="00376120">
        <w:t xml:space="preserve">. </w:t>
      </w:r>
      <w:r>
        <w:t xml:space="preserve">The city coalitions would </w:t>
      </w:r>
      <w:r w:rsidR="00C31323">
        <w:t>organize themselves</w:t>
      </w:r>
      <w:r>
        <w:t xml:space="preserve"> to undertake a city wide assessment </w:t>
      </w:r>
      <w:r w:rsidR="00112E29">
        <w:t xml:space="preserve">of community resilience, </w:t>
      </w:r>
      <w:r>
        <w:t xml:space="preserve">bringing together key stakeholders both from the government and non-government including academia and research to a common platform </w:t>
      </w:r>
      <w:r w:rsidRPr="002C16A3">
        <w:t xml:space="preserve">to identify the key risks facing </w:t>
      </w:r>
      <w:r w:rsidRPr="002C16A3">
        <w:lastRenderedPageBreak/>
        <w:t>the city and affecting community resilience.</w:t>
      </w:r>
      <w:r w:rsidR="00DD7733">
        <w:t xml:space="preserve"> </w:t>
      </w:r>
      <w:r w:rsidR="00376120" w:rsidRPr="00623195">
        <w:t xml:space="preserve">By focusing on priority </w:t>
      </w:r>
      <w:r w:rsidR="00376120">
        <w:t xml:space="preserve">community </w:t>
      </w:r>
      <w:r w:rsidR="00376120" w:rsidRPr="00623195">
        <w:t>risks</w:t>
      </w:r>
      <w:r w:rsidR="00376120">
        <w:t xml:space="preserve"> through </w:t>
      </w:r>
      <w:proofErr w:type="spellStart"/>
      <w:r w:rsidR="00376120">
        <w:t>analyzing</w:t>
      </w:r>
      <w:proofErr w:type="spellEnd"/>
      <w:r w:rsidR="00376120">
        <w:t xml:space="preserve"> both current and emerging risks</w:t>
      </w:r>
      <w:r w:rsidR="00376120" w:rsidRPr="00623195">
        <w:t>, the coalition can target those risk</w:t>
      </w:r>
      <w:r w:rsidR="00376120">
        <w:t>s</w:t>
      </w:r>
      <w:r w:rsidR="00376120" w:rsidRPr="00623195">
        <w:t xml:space="preserve"> and threats of greatest concern.</w:t>
      </w:r>
    </w:p>
    <w:p w14:paraId="7BAAABBF" w14:textId="004528F9" w:rsidR="002C16A3" w:rsidRDefault="007D24C9" w:rsidP="00376120">
      <w:pPr>
        <w:jc w:val="both"/>
      </w:pPr>
      <w:r>
        <w:t>This community resilience</w:t>
      </w:r>
      <w:r w:rsidR="00112E29">
        <w:t xml:space="preserve"> </w:t>
      </w:r>
      <w:r w:rsidR="00DD7733">
        <w:t xml:space="preserve">assessment </w:t>
      </w:r>
      <w:r w:rsidR="00112E29">
        <w:t xml:space="preserve">component is intended to complement the comprehensive city risk assessments that are often conducted by local governments and cover a wide range of risks to public infrastructure and facilities, the building stock and potential impact on local development plans. The community resilience component </w:t>
      </w:r>
      <w:r w:rsidR="00BE23C5">
        <w:t>will</w:t>
      </w:r>
      <w:r w:rsidR="00112E29">
        <w:t xml:space="preserve"> provide a lens for more closely examining </w:t>
      </w:r>
      <w:r w:rsidR="00C076B9">
        <w:t>community</w:t>
      </w:r>
      <w:bookmarkStart w:id="0" w:name="_GoBack"/>
      <w:bookmarkEnd w:id="0"/>
      <w:r w:rsidR="00F052F7">
        <w:t xml:space="preserve"> capacities and </w:t>
      </w:r>
      <w:r w:rsidR="00112E29">
        <w:t>impacts on community resilience that may occur i</w:t>
      </w:r>
      <w:r w:rsidR="009D1476">
        <w:t>n wider pattern</w:t>
      </w:r>
      <w:r w:rsidR="00DD7733">
        <w:t>s</w:t>
      </w:r>
      <w:r w:rsidR="009D1476">
        <w:t xml:space="preserve"> across the city</w:t>
      </w:r>
      <w:r w:rsidR="00112E29">
        <w:t xml:space="preserve"> </w:t>
      </w:r>
      <w:r w:rsidR="00DD7733">
        <w:t xml:space="preserve">and </w:t>
      </w:r>
      <w:r w:rsidR="00112E29">
        <w:t>factoring that analysis into existing comprehensive city risk assessment processes</w:t>
      </w:r>
      <w:r w:rsidR="003B7785">
        <w:t xml:space="preserve"> and plans for city-wide solutions</w:t>
      </w:r>
      <w:r w:rsidR="00DD7733">
        <w:t>.</w:t>
      </w:r>
      <w:r w:rsidR="00112E29">
        <w:t xml:space="preserve"> </w:t>
      </w:r>
      <w:r w:rsidR="00DD7733">
        <w:t>Further, this approach will help to identify</w:t>
      </w:r>
      <w:r w:rsidR="003B7785">
        <w:t xml:space="preserve"> </w:t>
      </w:r>
      <w:r w:rsidR="00EB09F3" w:rsidRPr="00D63624">
        <w:t>most vulnerable</w:t>
      </w:r>
      <w:r w:rsidR="00EB09F3">
        <w:t xml:space="preserve"> neighbourhoods</w:t>
      </w:r>
      <w:r w:rsidR="003B7785">
        <w:t xml:space="preserve"> </w:t>
      </w:r>
      <w:r w:rsidR="009D1476">
        <w:t>o</w:t>
      </w:r>
      <w:r w:rsidR="009D1476" w:rsidRPr="00D63624">
        <w:t>r non-geographical</w:t>
      </w:r>
      <w:r w:rsidR="009D1476">
        <w:t xml:space="preserve"> communities </w:t>
      </w:r>
      <w:r w:rsidR="003B7785">
        <w:t>where more intensive assessments like the RCRC’s Vulnerability and Capacity Analysis should be conducted.</w:t>
      </w:r>
    </w:p>
    <w:p w14:paraId="5D8BC448" w14:textId="49D65B02" w:rsidR="002C16A3" w:rsidRDefault="002C16A3" w:rsidP="00376120">
      <w:pPr>
        <w:jc w:val="both"/>
      </w:pPr>
      <w:r w:rsidRPr="002C16A3">
        <w:t xml:space="preserve">The assessment will include both immediate risks and longer-term risks, especially looking at climate change and urbanization trends. The stakeholders will identify a) the range of risks </w:t>
      </w:r>
      <w:r w:rsidR="00376120">
        <w:t xml:space="preserve">affecting community resilience in </w:t>
      </w:r>
      <w:r w:rsidRPr="002C16A3">
        <w:t>the city, b) the top 3 priority risks and b) the most vulnerable wards,</w:t>
      </w:r>
      <w:r>
        <w:t xml:space="preserve"> neighbourhoo</w:t>
      </w:r>
      <w:r w:rsidRPr="002C16A3">
        <w:t>ds, or communities of interest that require further community level assessment</w:t>
      </w:r>
      <w:r>
        <w:t>.</w:t>
      </w:r>
    </w:p>
    <w:p w14:paraId="3A355436" w14:textId="185F0042" w:rsidR="001312D9" w:rsidRDefault="001312D9" w:rsidP="002C16A3">
      <w:pPr>
        <w:jc w:val="both"/>
      </w:pPr>
      <w:r>
        <w:t xml:space="preserve">The intention is to make this methodology for undertaking </w:t>
      </w:r>
      <w:r w:rsidR="003B7785">
        <w:t xml:space="preserve">the community resilience assessment component within </w:t>
      </w:r>
      <w:r>
        <w:t xml:space="preserve">city-wide risk assessment accessible and user-friendly for local government, civil society agencies and National Societies of the RCRC movement </w:t>
      </w:r>
      <w:r w:rsidR="003B7785">
        <w:t>and to complement the more</w:t>
      </w:r>
      <w:r>
        <w:t xml:space="preserve"> </w:t>
      </w:r>
      <w:r w:rsidR="003B7785">
        <w:t xml:space="preserve">resource intensive </w:t>
      </w:r>
      <w:r>
        <w:t>city risk assessment</w:t>
      </w:r>
      <w:r w:rsidR="003B7785">
        <w:t>s that local governments undertake</w:t>
      </w:r>
      <w:r>
        <w:t xml:space="preserve">. It would help stakeholders get an overview of the </w:t>
      </w:r>
      <w:r w:rsidR="003B7785">
        <w:t xml:space="preserve">impact of the </w:t>
      </w:r>
      <w:r>
        <w:t xml:space="preserve">city’s risk and vulnerabilities </w:t>
      </w:r>
      <w:r w:rsidR="003B7785">
        <w:t xml:space="preserve">on local communities </w:t>
      </w:r>
      <w:r>
        <w:t>and help identify the areas</w:t>
      </w:r>
      <w:r w:rsidR="003B7785">
        <w:t>, groups, and networks</w:t>
      </w:r>
      <w:r w:rsidR="00376120">
        <w:t xml:space="preserve"> </w:t>
      </w:r>
      <w:r>
        <w:t xml:space="preserve">within the city which would require more focused attention and interventions. </w:t>
      </w:r>
    </w:p>
    <w:p w14:paraId="55F5EEC6" w14:textId="77777777" w:rsidR="002C16A3" w:rsidRPr="005A5EF1" w:rsidRDefault="002C16A3" w:rsidP="005A5EF1">
      <w:pPr>
        <w:shd w:val="clear" w:color="auto" w:fill="BFBFBF" w:themeFill="background1" w:themeFillShade="BF"/>
        <w:jc w:val="both"/>
        <w:rPr>
          <w:b/>
          <w:bCs/>
        </w:rPr>
      </w:pPr>
      <w:r w:rsidRPr="005A5EF1">
        <w:rPr>
          <w:b/>
          <w:bCs/>
        </w:rPr>
        <w:t xml:space="preserve">Scope of Work: </w:t>
      </w:r>
    </w:p>
    <w:p w14:paraId="56D5FBFE" w14:textId="5ADE5E05" w:rsidR="0030568E" w:rsidRDefault="0030568E" w:rsidP="0030568E">
      <w:pPr>
        <w:jc w:val="both"/>
      </w:pPr>
      <w:r>
        <w:t xml:space="preserve">The GDPC seeks consultancy services to contribute to the overall design and implementation of </w:t>
      </w:r>
      <w:r w:rsidR="00885923">
        <w:t xml:space="preserve">the </w:t>
      </w:r>
      <w:r w:rsidR="00C31323">
        <w:t xml:space="preserve">toolkit and related training course / learning program for </w:t>
      </w:r>
      <w:r>
        <w:t>city-wide risk assessment. This role will be focused on the development and rolling-out of tools and services.</w:t>
      </w:r>
    </w:p>
    <w:p w14:paraId="6A3125D9" w14:textId="3CD87FDB" w:rsidR="0030568E" w:rsidRDefault="0030568E" w:rsidP="0030568E">
      <w:pPr>
        <w:jc w:val="both"/>
      </w:pPr>
      <w:r>
        <w:t>The consultant(s) will deliver the three following outputs</w:t>
      </w:r>
      <w:r w:rsidR="00C31323">
        <w:t>:</w:t>
      </w:r>
      <w:r>
        <w:t xml:space="preserve"> </w:t>
      </w:r>
    </w:p>
    <w:p w14:paraId="720EB311" w14:textId="3F6E2B73" w:rsidR="00C662DE" w:rsidRDefault="0030568E" w:rsidP="00376120">
      <w:pPr>
        <w:pStyle w:val="ListParagraph"/>
        <w:numPr>
          <w:ilvl w:val="0"/>
          <w:numId w:val="1"/>
        </w:numPr>
        <w:jc w:val="both"/>
      </w:pPr>
      <w:r>
        <w:t>Development of a methodology for conducting a</w:t>
      </w:r>
      <w:r w:rsidR="00376120">
        <w:t>n</w:t>
      </w:r>
      <w:r>
        <w:t xml:space="preserve"> assessment which </w:t>
      </w:r>
    </w:p>
    <w:p w14:paraId="70BC54CC" w14:textId="2132FC1F" w:rsidR="00C662DE" w:rsidRDefault="00C31323" w:rsidP="00CB2E9B">
      <w:pPr>
        <w:pStyle w:val="ListParagraph"/>
        <w:numPr>
          <w:ilvl w:val="1"/>
          <w:numId w:val="1"/>
        </w:numPr>
        <w:jc w:val="both"/>
      </w:pPr>
      <w:r>
        <w:t xml:space="preserve">focuses on </w:t>
      </w:r>
      <w:r w:rsidR="0030568E">
        <w:t xml:space="preserve">community </w:t>
      </w:r>
      <w:r>
        <w:t>resilience</w:t>
      </w:r>
      <w:r w:rsidR="00CB2E9B">
        <w:t xml:space="preserve"> </w:t>
      </w:r>
      <w:r w:rsidR="0033192E">
        <w:t xml:space="preserve">as </w:t>
      </w:r>
      <w:r w:rsidR="00CB2E9B">
        <w:t>defined by the International Federation of Red Cross and Red Crescent Societies</w:t>
      </w:r>
      <w:r w:rsidR="00CB2E9B">
        <w:rPr>
          <w:rStyle w:val="FootnoteReference"/>
        </w:rPr>
        <w:footnoteReference w:id="1"/>
      </w:r>
      <w:r>
        <w:t xml:space="preserve">, </w:t>
      </w:r>
    </w:p>
    <w:p w14:paraId="29D43FBF" w14:textId="76356F52" w:rsidR="00C662DE" w:rsidRDefault="00C31323" w:rsidP="0041552D">
      <w:pPr>
        <w:pStyle w:val="ListParagraph"/>
        <w:numPr>
          <w:ilvl w:val="1"/>
          <w:numId w:val="1"/>
        </w:numPr>
        <w:jc w:val="both"/>
      </w:pPr>
      <w:r>
        <w:t xml:space="preserve">complements existing assessment processes local governments </w:t>
      </w:r>
      <w:r w:rsidR="0047799B">
        <w:t xml:space="preserve">and other organizations </w:t>
      </w:r>
      <w:r>
        <w:t>may already undertake,</w:t>
      </w:r>
    </w:p>
    <w:p w14:paraId="32914BB7" w14:textId="2724C877" w:rsidR="00C662DE" w:rsidRDefault="00C662DE" w:rsidP="0041552D">
      <w:pPr>
        <w:pStyle w:val="ListParagraph"/>
        <w:numPr>
          <w:ilvl w:val="1"/>
          <w:numId w:val="1"/>
        </w:numPr>
        <w:jc w:val="both"/>
      </w:pPr>
      <w:r>
        <w:t>draws on available secondary data and integrates it with community and  neighbourhood level assessment processes and results,</w:t>
      </w:r>
      <w:r w:rsidR="00C31323">
        <w:t xml:space="preserve"> </w:t>
      </w:r>
      <w:r w:rsidR="00CD2DA9">
        <w:t xml:space="preserve">and </w:t>
      </w:r>
    </w:p>
    <w:p w14:paraId="7A85E938" w14:textId="0B1277FC" w:rsidR="0030568E" w:rsidRDefault="00CD2DA9" w:rsidP="0041552D">
      <w:pPr>
        <w:pStyle w:val="ListParagraph"/>
        <w:numPr>
          <w:ilvl w:val="1"/>
          <w:numId w:val="1"/>
        </w:numPr>
        <w:jc w:val="both"/>
      </w:pPr>
      <w:proofErr w:type="gramStart"/>
      <w:r>
        <w:t>takes</w:t>
      </w:r>
      <w:proofErr w:type="gramEnd"/>
      <w:r>
        <w:t xml:space="preserve"> into account </w:t>
      </w:r>
      <w:r w:rsidR="00C31323">
        <w:t xml:space="preserve">evolving risk patterns related to </w:t>
      </w:r>
      <w:r>
        <w:t>the changing climate</w:t>
      </w:r>
      <w:r w:rsidR="00C31323">
        <w:t xml:space="preserve"> and coastal risks in particular</w:t>
      </w:r>
      <w:r w:rsidR="0030568E">
        <w:t xml:space="preserve">. </w:t>
      </w:r>
    </w:p>
    <w:p w14:paraId="7E50FF0D" w14:textId="506C85DC" w:rsidR="0030568E" w:rsidRDefault="0030568E" w:rsidP="00376120">
      <w:pPr>
        <w:pStyle w:val="ListParagraph"/>
        <w:numPr>
          <w:ilvl w:val="0"/>
          <w:numId w:val="1"/>
        </w:numPr>
        <w:jc w:val="both"/>
      </w:pPr>
      <w:r>
        <w:t xml:space="preserve">Development of a do-it-yourself (DIY) toolkit which would help </w:t>
      </w:r>
      <w:r w:rsidR="005A5EF1">
        <w:t xml:space="preserve">Red Cross Red Crescent National Societies, </w:t>
      </w:r>
      <w:r>
        <w:t xml:space="preserve">local government leaders and communities </w:t>
      </w:r>
      <w:r w:rsidR="00C31323">
        <w:t xml:space="preserve">learn about, organize, and </w:t>
      </w:r>
      <w:r>
        <w:lastRenderedPageBreak/>
        <w:t xml:space="preserve">undertake this city-wide assessment </w:t>
      </w:r>
      <w:r w:rsidR="00376120">
        <w:t xml:space="preserve">on </w:t>
      </w:r>
      <w:r w:rsidR="00C31323">
        <w:t>community resilience</w:t>
      </w:r>
      <w:r w:rsidR="00504E15">
        <w:t xml:space="preserve"> (either with or without external facilitation)</w:t>
      </w:r>
      <w:r w:rsidR="00D55765">
        <w:t>, including links to relevant existing resources and examples</w:t>
      </w:r>
    </w:p>
    <w:p w14:paraId="0455A3B7" w14:textId="72FDE349" w:rsidR="0030568E" w:rsidRDefault="00C31323" w:rsidP="00376120">
      <w:pPr>
        <w:pStyle w:val="ListParagraph"/>
        <w:numPr>
          <w:ilvl w:val="0"/>
          <w:numId w:val="1"/>
        </w:numPr>
        <w:jc w:val="both"/>
      </w:pPr>
      <w:r>
        <w:t xml:space="preserve">As a complement to </w:t>
      </w:r>
      <w:r w:rsidR="0030568E">
        <w:t>this DIY toolkit</w:t>
      </w:r>
      <w:r>
        <w:t>,</w:t>
      </w:r>
      <w:r w:rsidR="0030568E">
        <w:t xml:space="preserve"> </w:t>
      </w:r>
      <w:r>
        <w:t xml:space="preserve">development </w:t>
      </w:r>
      <w:r w:rsidR="00FE78E2">
        <w:t xml:space="preserve">and piloting </w:t>
      </w:r>
      <w:r>
        <w:t xml:space="preserve">of a set of training materials (including course and facilitation materials) on city-wide risk assessment </w:t>
      </w:r>
      <w:r w:rsidR="00376120">
        <w:t xml:space="preserve">on </w:t>
      </w:r>
      <w:r>
        <w:t xml:space="preserve">community resilience. The training materials and associated course will be piloted through </w:t>
      </w:r>
      <w:r w:rsidR="0030568E">
        <w:t>a training of stakeholders</w:t>
      </w:r>
      <w:r>
        <w:t xml:space="preserve"> in four pilot city locations – two each in Indonesia and Vanuatu</w:t>
      </w:r>
      <w:r w:rsidR="0030568E">
        <w:t xml:space="preserve"> (</w:t>
      </w:r>
      <w:r>
        <w:t xml:space="preserve">with participants </w:t>
      </w:r>
      <w:r w:rsidR="0030568E">
        <w:t xml:space="preserve">to be selected by </w:t>
      </w:r>
      <w:r w:rsidR="006A6AEF">
        <w:t xml:space="preserve">the RCRC National Societies in consultation with </w:t>
      </w:r>
      <w:r w:rsidR="0030568E">
        <w:t>GDPC</w:t>
      </w:r>
      <w:r w:rsidR="006A6AEF">
        <w:t xml:space="preserve">, </w:t>
      </w:r>
      <w:r w:rsidR="0030568E">
        <w:t>American Red Cross</w:t>
      </w:r>
      <w:r w:rsidR="006A6AEF">
        <w:t>, and IFRC</w:t>
      </w:r>
      <w:r w:rsidR="0030568E">
        <w:t>)</w:t>
      </w:r>
      <w:r>
        <w:t>.</w:t>
      </w:r>
      <w:r w:rsidR="0030568E">
        <w:t xml:space="preserve"> </w:t>
      </w:r>
    </w:p>
    <w:p w14:paraId="7812A6DA" w14:textId="22769D99" w:rsidR="005A5EF1" w:rsidRPr="00FE78E2" w:rsidRDefault="0030568E" w:rsidP="00FE78E2">
      <w:pPr>
        <w:shd w:val="clear" w:color="auto" w:fill="BFBFBF" w:themeFill="background1" w:themeFillShade="BF"/>
        <w:jc w:val="both"/>
        <w:rPr>
          <w:b/>
          <w:bCs/>
        </w:rPr>
      </w:pPr>
      <w:r w:rsidRPr="005A5EF1">
        <w:rPr>
          <w:b/>
          <w:bCs/>
        </w:rPr>
        <w:t xml:space="preserve">Specific outputs will include: </w:t>
      </w:r>
    </w:p>
    <w:tbl>
      <w:tblPr>
        <w:tblStyle w:val="TableGrid"/>
        <w:tblW w:w="0" w:type="auto"/>
        <w:tblBorders>
          <w:top w:val="none" w:sz="0" w:space="0" w:color="auto"/>
          <w:left w:val="none" w:sz="0" w:space="0" w:color="auto"/>
          <w:bottom w:val="none" w:sz="0" w:space="0" w:color="auto"/>
          <w:right w:val="none" w:sz="0" w:space="0" w:color="auto"/>
          <w:insideH w:val="single" w:sz="8" w:space="0" w:color="808080" w:themeColor="background1" w:themeShade="80"/>
          <w:insideV w:val="none" w:sz="0" w:space="0" w:color="auto"/>
        </w:tblBorders>
        <w:tblLook w:val="04A0" w:firstRow="1" w:lastRow="0" w:firstColumn="1" w:lastColumn="0" w:noHBand="0" w:noVBand="1"/>
      </w:tblPr>
      <w:tblGrid>
        <w:gridCol w:w="5400"/>
        <w:gridCol w:w="3616"/>
      </w:tblGrid>
      <w:tr w:rsidR="00FE78E2" w14:paraId="26F2CA9B" w14:textId="77777777" w:rsidTr="00FE78E2">
        <w:tc>
          <w:tcPr>
            <w:tcW w:w="5400" w:type="dxa"/>
          </w:tcPr>
          <w:p w14:paraId="48DBE0CF" w14:textId="337382A5" w:rsidR="00FE78E2" w:rsidRPr="00FE78E2" w:rsidRDefault="00FE78E2" w:rsidP="00FE78E2">
            <w:pPr>
              <w:jc w:val="both"/>
              <w:rPr>
                <w:b/>
              </w:rPr>
            </w:pPr>
            <w:r w:rsidRPr="00FE78E2">
              <w:rPr>
                <w:b/>
              </w:rPr>
              <w:t>Deliverable</w:t>
            </w:r>
          </w:p>
        </w:tc>
        <w:tc>
          <w:tcPr>
            <w:tcW w:w="3616" w:type="dxa"/>
          </w:tcPr>
          <w:p w14:paraId="364C44A9" w14:textId="67240DBF" w:rsidR="00FE78E2" w:rsidRPr="00FE78E2" w:rsidRDefault="00FE78E2" w:rsidP="00FE78E2">
            <w:pPr>
              <w:jc w:val="center"/>
              <w:rPr>
                <w:b/>
              </w:rPr>
            </w:pPr>
            <w:r w:rsidRPr="00FE78E2">
              <w:rPr>
                <w:b/>
              </w:rPr>
              <w:t>Timeline</w:t>
            </w:r>
            <w:r>
              <w:rPr>
                <w:b/>
              </w:rPr>
              <w:t xml:space="preserve"> (from project start)</w:t>
            </w:r>
          </w:p>
        </w:tc>
      </w:tr>
      <w:tr w:rsidR="00FE78E2" w14:paraId="694FE489" w14:textId="77777777" w:rsidTr="00FE78E2">
        <w:tc>
          <w:tcPr>
            <w:tcW w:w="5400" w:type="dxa"/>
          </w:tcPr>
          <w:p w14:paraId="4B537386" w14:textId="599E6C81" w:rsidR="00FE78E2" w:rsidRDefault="00FE78E2" w:rsidP="00FE78E2">
            <w:pPr>
              <w:pStyle w:val="ListParagraph"/>
              <w:numPr>
                <w:ilvl w:val="0"/>
                <w:numId w:val="3"/>
              </w:numPr>
              <w:spacing w:after="120"/>
              <w:ind w:left="360"/>
              <w:contextualSpacing w:val="0"/>
              <w:jc w:val="both"/>
            </w:pPr>
            <w:r>
              <w:t xml:space="preserve">Inception report to better define the above mentioned deliverables </w:t>
            </w:r>
          </w:p>
        </w:tc>
        <w:tc>
          <w:tcPr>
            <w:tcW w:w="3616" w:type="dxa"/>
          </w:tcPr>
          <w:p w14:paraId="5B83C600" w14:textId="3501E492" w:rsidR="00FE78E2" w:rsidRDefault="00FE78E2" w:rsidP="00FE78E2">
            <w:pPr>
              <w:jc w:val="center"/>
            </w:pPr>
            <w:r>
              <w:t>Within 2 weeks</w:t>
            </w:r>
          </w:p>
        </w:tc>
      </w:tr>
      <w:tr w:rsidR="00FE78E2" w14:paraId="723D1875" w14:textId="77777777" w:rsidTr="00FE78E2">
        <w:tc>
          <w:tcPr>
            <w:tcW w:w="5400" w:type="dxa"/>
          </w:tcPr>
          <w:p w14:paraId="38FF433F" w14:textId="51E61ECB" w:rsidR="00FE78E2" w:rsidRDefault="00FE78E2" w:rsidP="00FE78E2">
            <w:pPr>
              <w:pStyle w:val="ListParagraph"/>
              <w:numPr>
                <w:ilvl w:val="0"/>
                <w:numId w:val="3"/>
              </w:numPr>
              <w:spacing w:after="120"/>
              <w:ind w:left="360"/>
              <w:contextualSpacing w:val="0"/>
              <w:jc w:val="both"/>
            </w:pPr>
            <w:r>
              <w:t>Review of existing tools and methodologies available, some of which should serve as building blocks</w:t>
            </w:r>
          </w:p>
        </w:tc>
        <w:tc>
          <w:tcPr>
            <w:tcW w:w="3616" w:type="dxa"/>
          </w:tcPr>
          <w:p w14:paraId="33C39BCF" w14:textId="75C92761" w:rsidR="00FE78E2" w:rsidRDefault="00FE78E2" w:rsidP="00FE78E2">
            <w:pPr>
              <w:jc w:val="center"/>
            </w:pPr>
            <w:r>
              <w:t xml:space="preserve">Within </w:t>
            </w:r>
            <w:r w:rsidR="00B016E3">
              <w:t>3-</w:t>
            </w:r>
            <w:r>
              <w:t>4 weeks</w:t>
            </w:r>
          </w:p>
        </w:tc>
      </w:tr>
      <w:tr w:rsidR="00FE78E2" w14:paraId="11C07725" w14:textId="77777777" w:rsidTr="00FE78E2">
        <w:tc>
          <w:tcPr>
            <w:tcW w:w="5400" w:type="dxa"/>
          </w:tcPr>
          <w:p w14:paraId="2CE02C8D" w14:textId="543A5E5C" w:rsidR="00FE78E2" w:rsidRDefault="00FE78E2" w:rsidP="00FE78E2">
            <w:pPr>
              <w:pStyle w:val="ListParagraph"/>
              <w:numPr>
                <w:ilvl w:val="0"/>
                <w:numId w:val="3"/>
              </w:numPr>
              <w:spacing w:after="120"/>
              <w:ind w:left="360"/>
              <w:contextualSpacing w:val="0"/>
              <w:jc w:val="both"/>
            </w:pPr>
            <w:r>
              <w:t xml:space="preserve">Drafting and revision of the city-wide assessment methodology to be used in the pilot, in consultation with a peer review group to be convened by the GDPC </w:t>
            </w:r>
          </w:p>
        </w:tc>
        <w:tc>
          <w:tcPr>
            <w:tcW w:w="3616" w:type="dxa"/>
          </w:tcPr>
          <w:p w14:paraId="2F19F45E" w14:textId="3DE7A308" w:rsidR="00FE78E2" w:rsidRDefault="00FE78E2" w:rsidP="00FE78E2">
            <w:pPr>
              <w:jc w:val="center"/>
            </w:pPr>
            <w:r>
              <w:t>Within 6-8 weeks</w:t>
            </w:r>
          </w:p>
        </w:tc>
      </w:tr>
      <w:tr w:rsidR="00FE78E2" w14:paraId="32619162" w14:textId="77777777" w:rsidTr="00FE78E2">
        <w:tc>
          <w:tcPr>
            <w:tcW w:w="5400" w:type="dxa"/>
          </w:tcPr>
          <w:p w14:paraId="58540642" w14:textId="4246141D" w:rsidR="00FE78E2" w:rsidRDefault="00FE78E2" w:rsidP="00B016E3">
            <w:pPr>
              <w:pStyle w:val="ListParagraph"/>
              <w:numPr>
                <w:ilvl w:val="0"/>
                <w:numId w:val="3"/>
              </w:numPr>
              <w:spacing w:after="120"/>
              <w:ind w:left="360"/>
              <w:contextualSpacing w:val="0"/>
              <w:jc w:val="both"/>
            </w:pPr>
            <w:r>
              <w:t>Design and pilot delivery of training of the city-wide assessment (with piloting in 2 cities in Indonesia and 2 cities in Vanuatu)</w:t>
            </w:r>
          </w:p>
        </w:tc>
        <w:tc>
          <w:tcPr>
            <w:tcW w:w="3616" w:type="dxa"/>
          </w:tcPr>
          <w:p w14:paraId="2A81031F" w14:textId="6189A536" w:rsidR="00FE78E2" w:rsidRDefault="00FE78E2" w:rsidP="00B016E3">
            <w:pPr>
              <w:jc w:val="center"/>
            </w:pPr>
            <w:r>
              <w:t xml:space="preserve">Within </w:t>
            </w:r>
            <w:r w:rsidR="00B016E3">
              <w:t>7-11</w:t>
            </w:r>
            <w:r>
              <w:t xml:space="preserve"> weeks</w:t>
            </w:r>
          </w:p>
        </w:tc>
      </w:tr>
      <w:tr w:rsidR="00FE78E2" w14:paraId="2EFFBD56" w14:textId="77777777" w:rsidTr="00FE78E2">
        <w:tc>
          <w:tcPr>
            <w:tcW w:w="5400" w:type="dxa"/>
          </w:tcPr>
          <w:p w14:paraId="64131D43" w14:textId="14DD7BBF" w:rsidR="00FE78E2" w:rsidRDefault="00FE78E2" w:rsidP="00FE78E2">
            <w:pPr>
              <w:pStyle w:val="ListParagraph"/>
              <w:numPr>
                <w:ilvl w:val="0"/>
                <w:numId w:val="3"/>
              </w:numPr>
              <w:spacing w:after="120"/>
              <w:ind w:left="360"/>
              <w:contextualSpacing w:val="0"/>
              <w:jc w:val="both"/>
            </w:pPr>
            <w:r>
              <w:t>Review of findings from training including possible improvements/revision to toolkit</w:t>
            </w:r>
          </w:p>
        </w:tc>
        <w:tc>
          <w:tcPr>
            <w:tcW w:w="3616" w:type="dxa"/>
          </w:tcPr>
          <w:p w14:paraId="4C568A2D" w14:textId="1E26E89F" w:rsidR="00FE78E2" w:rsidRDefault="00FE78E2" w:rsidP="00B016E3">
            <w:pPr>
              <w:jc w:val="center"/>
            </w:pPr>
            <w:r>
              <w:t>Within 1</w:t>
            </w:r>
            <w:r w:rsidR="00B016E3">
              <w:t>2</w:t>
            </w:r>
            <w:r>
              <w:t xml:space="preserve"> weeks</w:t>
            </w:r>
          </w:p>
        </w:tc>
      </w:tr>
      <w:tr w:rsidR="00B016E3" w14:paraId="29B88F55" w14:textId="77777777" w:rsidTr="00FE78E2">
        <w:tc>
          <w:tcPr>
            <w:tcW w:w="5400" w:type="dxa"/>
          </w:tcPr>
          <w:p w14:paraId="17B24949" w14:textId="6340C0B2" w:rsidR="00B016E3" w:rsidRDefault="00B016E3" w:rsidP="00B016E3">
            <w:pPr>
              <w:pStyle w:val="ListParagraph"/>
              <w:numPr>
                <w:ilvl w:val="0"/>
                <w:numId w:val="3"/>
              </w:numPr>
              <w:spacing w:after="120"/>
              <w:ind w:left="360"/>
              <w:contextualSpacing w:val="0"/>
              <w:jc w:val="both"/>
            </w:pPr>
            <w:r>
              <w:t xml:space="preserve">Design of guidance and materials – the Do-it-yourself kit </w:t>
            </w:r>
          </w:p>
        </w:tc>
        <w:tc>
          <w:tcPr>
            <w:tcW w:w="3616" w:type="dxa"/>
          </w:tcPr>
          <w:p w14:paraId="2DB23C1A" w14:textId="0DF6A454" w:rsidR="00B016E3" w:rsidRDefault="00B016E3" w:rsidP="00B016E3">
            <w:pPr>
              <w:jc w:val="center"/>
            </w:pPr>
            <w:r>
              <w:t>Within 12-14 weeks</w:t>
            </w:r>
          </w:p>
        </w:tc>
      </w:tr>
    </w:tbl>
    <w:p w14:paraId="499DB6B0" w14:textId="21E72A13" w:rsidR="00FE78E2" w:rsidRPr="00FE78E2" w:rsidRDefault="00FE78E2" w:rsidP="00FE78E2">
      <w:pPr>
        <w:shd w:val="clear" w:color="auto" w:fill="BFBFBF" w:themeFill="background1" w:themeFillShade="BF"/>
        <w:spacing w:before="240"/>
        <w:jc w:val="both"/>
        <w:rPr>
          <w:b/>
          <w:bCs/>
        </w:rPr>
      </w:pPr>
      <w:r w:rsidRPr="00FE78E2">
        <w:rPr>
          <w:b/>
          <w:bCs/>
        </w:rPr>
        <w:t>Other consultancy specifications:</w:t>
      </w:r>
    </w:p>
    <w:p w14:paraId="4276650A" w14:textId="15B59A1E" w:rsidR="00FE78E2" w:rsidRPr="00FE78E2" w:rsidRDefault="00FE78E2" w:rsidP="00FE78E2">
      <w:pPr>
        <w:jc w:val="both"/>
      </w:pPr>
      <w:r w:rsidRPr="000E29B8">
        <w:rPr>
          <w:b/>
        </w:rPr>
        <w:t>Duration</w:t>
      </w:r>
      <w:r w:rsidRPr="00FE78E2">
        <w:t xml:space="preserve">: total </w:t>
      </w:r>
      <w:r w:rsidR="00B016E3">
        <w:t>3 – 3.5</w:t>
      </w:r>
      <w:r w:rsidR="000E29B8">
        <w:t xml:space="preserve"> months, starting mid-September</w:t>
      </w:r>
    </w:p>
    <w:p w14:paraId="530F0813" w14:textId="41B6C1C3" w:rsidR="00FE78E2" w:rsidRPr="00FE78E2" w:rsidRDefault="00FE78E2" w:rsidP="00FE78E2">
      <w:pPr>
        <w:jc w:val="both"/>
      </w:pPr>
      <w:r w:rsidRPr="000E29B8">
        <w:rPr>
          <w:b/>
        </w:rPr>
        <w:t>Work station</w:t>
      </w:r>
      <w:r w:rsidRPr="00FE78E2">
        <w:t xml:space="preserve">: </w:t>
      </w:r>
      <w:r>
        <w:t>Primaril</w:t>
      </w:r>
      <w:r w:rsidR="00B016E3">
        <w:t>y</w:t>
      </w:r>
      <w:r>
        <w:t xml:space="preserve"> home-</w:t>
      </w:r>
      <w:r w:rsidRPr="00FE78E2">
        <w:t>based</w:t>
      </w:r>
      <w:r w:rsidR="00B016E3">
        <w:t>,</w:t>
      </w:r>
      <w:r w:rsidRPr="00FE78E2">
        <w:t xml:space="preserve"> </w:t>
      </w:r>
      <w:r>
        <w:t>with travel</w:t>
      </w:r>
      <w:r w:rsidR="00B016E3">
        <w:t xml:space="preserve"> for piloting to Indonesia and Vanuatu</w:t>
      </w:r>
    </w:p>
    <w:p w14:paraId="02B599C5" w14:textId="77777777" w:rsidR="00FE78E2" w:rsidRPr="00E322C1" w:rsidRDefault="00FE78E2" w:rsidP="00FE78E2">
      <w:pPr>
        <w:jc w:val="both"/>
      </w:pPr>
      <w:r w:rsidRPr="000E29B8">
        <w:rPr>
          <w:b/>
        </w:rPr>
        <w:t>Reporting to</w:t>
      </w:r>
      <w:r w:rsidRPr="00FE78E2">
        <w:t xml:space="preserve">: Ian O’Donnell, </w:t>
      </w:r>
      <w:r>
        <w:t xml:space="preserve">Sr. Urban Planner, </w:t>
      </w:r>
      <w:r w:rsidRPr="00E322C1">
        <w:t xml:space="preserve">Global Disaster Preparedness Center  </w:t>
      </w:r>
    </w:p>
    <w:p w14:paraId="7E97DE32" w14:textId="77777777" w:rsidR="00445A12" w:rsidRPr="00445A12" w:rsidRDefault="00445A12" w:rsidP="00864C73">
      <w:pPr>
        <w:shd w:val="clear" w:color="auto" w:fill="BFBFBF" w:themeFill="background1" w:themeFillShade="BF"/>
        <w:spacing w:before="240"/>
        <w:jc w:val="both"/>
        <w:rPr>
          <w:b/>
          <w:bCs/>
        </w:rPr>
      </w:pPr>
      <w:r w:rsidRPr="00445A12">
        <w:rPr>
          <w:b/>
          <w:bCs/>
        </w:rPr>
        <w:t>Requirements/Skills and experience sought:</w:t>
      </w:r>
    </w:p>
    <w:p w14:paraId="23341EAD" w14:textId="77777777" w:rsidR="00445A12" w:rsidRDefault="00445A12" w:rsidP="00445A12">
      <w:pPr>
        <w:jc w:val="both"/>
      </w:pPr>
      <w:r>
        <w:t xml:space="preserve">The GDPC seeks expertise and knowledge of urban risk assessment and management </w:t>
      </w:r>
    </w:p>
    <w:p w14:paraId="218985BA" w14:textId="77777777" w:rsidR="00337074" w:rsidRDefault="00445A12" w:rsidP="00445A12">
      <w:pPr>
        <w:jc w:val="both"/>
      </w:pPr>
      <w:r>
        <w:t xml:space="preserve">The qualified consultant will have </w:t>
      </w:r>
    </w:p>
    <w:p w14:paraId="33DBF0DC" w14:textId="49706A63" w:rsidR="00337074" w:rsidRDefault="00337074" w:rsidP="00337074">
      <w:pPr>
        <w:pStyle w:val="ListParagraph"/>
        <w:numPr>
          <w:ilvl w:val="0"/>
          <w:numId w:val="2"/>
        </w:numPr>
        <w:jc w:val="both"/>
      </w:pPr>
      <w:r>
        <w:t>Demonstrated success in developing</w:t>
      </w:r>
      <w:r w:rsidR="00ED727D">
        <w:t>/participating in</w:t>
      </w:r>
      <w:r>
        <w:t xml:space="preserve"> </w:t>
      </w:r>
      <w:r w:rsidR="00C662DE">
        <w:t xml:space="preserve">collaborative </w:t>
      </w:r>
      <w:r>
        <w:t xml:space="preserve">risk assessment methodologies </w:t>
      </w:r>
      <w:r w:rsidR="00C662DE">
        <w:t>involving diverse stakeholders</w:t>
      </w:r>
      <w:r>
        <w:t>, especially in urban context</w:t>
      </w:r>
      <w:r w:rsidR="00C662DE">
        <w:t>s</w:t>
      </w:r>
      <w:r>
        <w:t xml:space="preserve">. </w:t>
      </w:r>
    </w:p>
    <w:p w14:paraId="17B3FBEB" w14:textId="22B3FEE5" w:rsidR="00445A12" w:rsidRDefault="00337074" w:rsidP="000E29B8">
      <w:pPr>
        <w:pStyle w:val="ListParagraph"/>
        <w:numPr>
          <w:ilvl w:val="0"/>
          <w:numId w:val="2"/>
        </w:numPr>
        <w:spacing w:before="80" w:after="80"/>
        <w:contextualSpacing w:val="0"/>
        <w:jc w:val="both"/>
      </w:pPr>
      <w:r>
        <w:t xml:space="preserve">Experience </w:t>
      </w:r>
      <w:r w:rsidR="00445A12">
        <w:t xml:space="preserve">in development of user-friendly </w:t>
      </w:r>
      <w:r>
        <w:t>training tools and methodologies</w:t>
      </w:r>
      <w:r w:rsidR="00C662DE">
        <w:t>, including the use of interactive, online, and multi-media methods</w:t>
      </w:r>
      <w:r w:rsidR="001E606C">
        <w:t xml:space="preserve"> which would promote National Society engagement for city-wide risk assessment. </w:t>
      </w:r>
    </w:p>
    <w:p w14:paraId="7A6EDCA9" w14:textId="0972DDB5" w:rsidR="00ED727D" w:rsidRDefault="00337074" w:rsidP="000E29B8">
      <w:pPr>
        <w:pStyle w:val="ListParagraph"/>
        <w:numPr>
          <w:ilvl w:val="0"/>
          <w:numId w:val="2"/>
        </w:numPr>
        <w:spacing w:before="80" w:after="80"/>
        <w:contextualSpacing w:val="0"/>
        <w:jc w:val="both"/>
      </w:pPr>
      <w:r>
        <w:lastRenderedPageBreak/>
        <w:t xml:space="preserve">Demonstrated </w:t>
      </w:r>
      <w:r w:rsidR="00ED727D">
        <w:t>knowledge of</w:t>
      </w:r>
      <w:r w:rsidR="00445A12">
        <w:t xml:space="preserve"> community resilience </w:t>
      </w:r>
      <w:r w:rsidR="00ED727D">
        <w:t xml:space="preserve">in urban areas, including knowledge of existing resilience approaches, frameworks and tools currently available. </w:t>
      </w:r>
    </w:p>
    <w:p w14:paraId="78EFE06F" w14:textId="0058B200" w:rsidR="0067754E" w:rsidRDefault="00ED727D" w:rsidP="000E29B8">
      <w:pPr>
        <w:pStyle w:val="ListParagraph"/>
        <w:numPr>
          <w:ilvl w:val="0"/>
          <w:numId w:val="2"/>
        </w:numPr>
        <w:spacing w:before="80" w:after="80"/>
        <w:contextualSpacing w:val="0"/>
        <w:jc w:val="both"/>
      </w:pPr>
      <w:r>
        <w:t>Demonstrated knowledge and</w:t>
      </w:r>
      <w:r w:rsidR="002F4D20">
        <w:t>/or</w:t>
      </w:r>
      <w:r>
        <w:t xml:space="preserve"> use of systems thinking </w:t>
      </w:r>
      <w:r w:rsidR="002F4D20">
        <w:t xml:space="preserve">in order to adequately link the city-wide assessment to processes that </w:t>
      </w:r>
      <w:r w:rsidR="001E606C">
        <w:t xml:space="preserve">have policy implications on the </w:t>
      </w:r>
      <w:r w:rsidR="002F4D20">
        <w:t>city</w:t>
      </w:r>
      <w:r w:rsidR="001E606C">
        <w:t>.</w:t>
      </w:r>
      <w:r>
        <w:t xml:space="preserve"> </w:t>
      </w:r>
    </w:p>
    <w:p w14:paraId="3A9DBCDD" w14:textId="07031797" w:rsidR="0067754E" w:rsidRDefault="0067754E" w:rsidP="000E29B8">
      <w:pPr>
        <w:pStyle w:val="ListParagraph"/>
        <w:numPr>
          <w:ilvl w:val="0"/>
          <w:numId w:val="2"/>
        </w:numPr>
        <w:spacing w:before="80" w:after="80"/>
        <w:contextualSpacing w:val="0"/>
        <w:jc w:val="both"/>
      </w:pPr>
      <w:r>
        <w:t xml:space="preserve">Demonstrated knowledge of the built environment and its influence on governance, social and economic activities, institutions and processes. </w:t>
      </w:r>
    </w:p>
    <w:p w14:paraId="123C3DA3" w14:textId="713261AD" w:rsidR="00C662DE" w:rsidRDefault="00C662DE" w:rsidP="000E29B8">
      <w:pPr>
        <w:pStyle w:val="ListParagraph"/>
        <w:numPr>
          <w:ilvl w:val="0"/>
          <w:numId w:val="2"/>
        </w:numPr>
        <w:spacing w:before="80" w:after="80"/>
        <w:contextualSpacing w:val="0"/>
        <w:jc w:val="both"/>
      </w:pPr>
      <w:r>
        <w:t>Willingness to advance the development of easy-to-use / do-it-yourself tools, that can be used by local organizations to self-organize city risk assessments for community resilience, especially in situations where little or no external facilitation is available</w:t>
      </w:r>
    </w:p>
    <w:p w14:paraId="03933A43" w14:textId="4AB562F6" w:rsidR="00B016E3" w:rsidRDefault="00B016E3" w:rsidP="000E29B8">
      <w:pPr>
        <w:pStyle w:val="ListParagraph"/>
        <w:numPr>
          <w:ilvl w:val="0"/>
          <w:numId w:val="2"/>
        </w:numPr>
        <w:spacing w:before="80" w:after="80"/>
        <w:contextualSpacing w:val="0"/>
        <w:jc w:val="both"/>
      </w:pPr>
      <w:r w:rsidRPr="00B016E3">
        <w:t>Familiarity with work of the Red Cross and Red Crescent movement and the international humani</w:t>
      </w:r>
      <w:r>
        <w:t>tarian relief sector preferred</w:t>
      </w:r>
    </w:p>
    <w:p w14:paraId="5D7FA282" w14:textId="77777777" w:rsidR="00445A12" w:rsidRDefault="00445A12" w:rsidP="00445A12">
      <w:pPr>
        <w:jc w:val="both"/>
      </w:pPr>
      <w:r>
        <w:t>All activities related to this project will be subject to the principles and values of the Red Cross /Red Crescent movement.</w:t>
      </w:r>
    </w:p>
    <w:p w14:paraId="048A2CAC" w14:textId="77777777" w:rsidR="00337074" w:rsidRPr="00337074" w:rsidRDefault="00337074" w:rsidP="00337074">
      <w:pPr>
        <w:shd w:val="clear" w:color="auto" w:fill="BFBFBF" w:themeFill="background1" w:themeFillShade="BF"/>
        <w:jc w:val="both"/>
        <w:rPr>
          <w:b/>
          <w:bCs/>
        </w:rPr>
      </w:pPr>
      <w:r w:rsidRPr="00337074">
        <w:rPr>
          <w:b/>
          <w:bCs/>
        </w:rPr>
        <w:t>Selection Process:</w:t>
      </w:r>
    </w:p>
    <w:p w14:paraId="43E074FC" w14:textId="197A84DD" w:rsidR="00764CDE" w:rsidRDefault="00337074">
      <w:r>
        <w:t xml:space="preserve">Consultants who meet the above requirements should submit </w:t>
      </w:r>
      <w:r w:rsidR="00825701">
        <w:t>a proposal</w:t>
      </w:r>
      <w:r>
        <w:t>, which must include the following: (</w:t>
      </w:r>
      <w:proofErr w:type="spellStart"/>
      <w:r>
        <w:t>i</w:t>
      </w:r>
      <w:proofErr w:type="spellEnd"/>
      <w:r>
        <w:t xml:space="preserve">) </w:t>
      </w:r>
      <w:r w:rsidR="00F31303">
        <w:t xml:space="preserve">a </w:t>
      </w:r>
      <w:r w:rsidR="00DD7C51">
        <w:t>background</w:t>
      </w:r>
      <w:r>
        <w:t xml:space="preserve"> statement </w:t>
      </w:r>
      <w:r w:rsidR="00DD7C51">
        <w:t xml:space="preserve">on the organization or individual; </w:t>
      </w:r>
      <w:r>
        <w:t>(ii) a statement on the proposed deliverables, including a detailed work plan</w:t>
      </w:r>
      <w:r w:rsidR="00DD7C51">
        <w:t>;</w:t>
      </w:r>
      <w:r>
        <w:t xml:space="preserve"> (ii</w:t>
      </w:r>
      <w:r w:rsidR="00F31303">
        <w:t>i</w:t>
      </w:r>
      <w:r>
        <w:t xml:space="preserve">) </w:t>
      </w:r>
      <w:r w:rsidR="00F31303">
        <w:t xml:space="preserve">a </w:t>
      </w:r>
      <w:r>
        <w:t xml:space="preserve">financial proposal, including cost </w:t>
      </w:r>
      <w:r w:rsidR="0041552D">
        <w:t xml:space="preserve">breakouts </w:t>
      </w:r>
      <w:r w:rsidR="00DD7C51">
        <w:t xml:space="preserve">per major activity, </w:t>
      </w:r>
      <w:r w:rsidR="00F31303">
        <w:t xml:space="preserve">and </w:t>
      </w:r>
      <w:proofErr w:type="gramStart"/>
      <w:r w:rsidR="00DD7C51">
        <w:t>(i</w:t>
      </w:r>
      <w:r w:rsidR="00F31303">
        <w:t>v</w:t>
      </w:r>
      <w:r>
        <w:t>) updated</w:t>
      </w:r>
      <w:proofErr w:type="gramEnd"/>
      <w:r>
        <w:t xml:space="preserve"> curriculum</w:t>
      </w:r>
      <w:r w:rsidR="0041552D">
        <w:t xml:space="preserve"> vitae for key staff</w:t>
      </w:r>
      <w:r>
        <w:t xml:space="preserve"> showing qualifications and experience</w:t>
      </w:r>
      <w:r w:rsidR="00F31303">
        <w:t>. The attached template should be used to organize the elements of the proposal.</w:t>
      </w:r>
    </w:p>
    <w:p w14:paraId="15B30FDC" w14:textId="2D0228A5" w:rsidR="00116141" w:rsidRDefault="00F31303" w:rsidP="00376120">
      <w:pPr>
        <w:rPr>
          <w:bCs/>
        </w:rPr>
      </w:pPr>
      <w:r>
        <w:t>The last date of submission is 23 August 2016</w:t>
      </w:r>
      <w:r w:rsidR="00337074">
        <w:t>. Please send your application with required supporting documents to the following email</w:t>
      </w:r>
      <w:r>
        <w:t xml:space="preserve"> addresses</w:t>
      </w:r>
      <w:r w:rsidR="00337074">
        <w:t xml:space="preserve"> (</w:t>
      </w:r>
      <w:hyperlink r:id="rId11" w:history="1">
        <w:r w:rsidRPr="00F31303">
          <w:t>ian.odonnell@redcross.org</w:t>
        </w:r>
      </w:hyperlink>
      <w:r w:rsidRPr="00F31303">
        <w:t xml:space="preserve"> and colin.fernandes@redcross.org</w:t>
      </w:r>
      <w:r w:rsidR="00337074">
        <w:t xml:space="preserve">) with the subject line </w:t>
      </w:r>
      <w:r w:rsidR="00376120">
        <w:t xml:space="preserve">CITY-WIDE ASSESSMENT </w:t>
      </w:r>
      <w:r w:rsidR="00562507">
        <w:t>FOR</w:t>
      </w:r>
      <w:r w:rsidR="00376120">
        <w:t xml:space="preserve"> COMMUNITY RESILIENCE</w:t>
      </w:r>
      <w:r w:rsidR="00376120" w:rsidRPr="00F31303" w:rsidDel="00376120">
        <w:rPr>
          <w:b/>
          <w:bCs/>
        </w:rPr>
        <w:t xml:space="preserve"> </w:t>
      </w:r>
      <w:r w:rsidR="00337074">
        <w:rPr>
          <w:b/>
          <w:bCs/>
          <w:u w:val="single"/>
        </w:rPr>
        <w:t>(Name and organization)</w:t>
      </w:r>
      <w:r w:rsidR="0041552D" w:rsidRPr="0041552D">
        <w:rPr>
          <w:b/>
          <w:bCs/>
        </w:rPr>
        <w:t xml:space="preserve"> </w:t>
      </w:r>
      <w:r w:rsidR="0041552D" w:rsidRPr="0041552D">
        <w:rPr>
          <w:bCs/>
        </w:rPr>
        <w:t>by</w:t>
      </w:r>
      <w:r w:rsidR="0041552D" w:rsidRPr="0041552D">
        <w:rPr>
          <w:b/>
          <w:bCs/>
        </w:rPr>
        <w:t xml:space="preserve"> </w:t>
      </w:r>
      <w:r>
        <w:t>23 August 2016</w:t>
      </w:r>
      <w:r w:rsidR="0041552D" w:rsidRPr="000E29B8">
        <w:rPr>
          <w:bCs/>
        </w:rPr>
        <w:t>.</w:t>
      </w:r>
    </w:p>
    <w:p w14:paraId="68DFBF0E" w14:textId="282BD79B" w:rsidR="009A6209" w:rsidRPr="009A6209" w:rsidRDefault="009A6209" w:rsidP="00376120">
      <w:pPr>
        <w:rPr>
          <w:bCs/>
        </w:rPr>
      </w:pPr>
      <w:r w:rsidRPr="009A6209">
        <w:rPr>
          <w:bCs/>
        </w:rPr>
        <w:t>For questions, please contact</w:t>
      </w:r>
      <w:r>
        <w:rPr>
          <w:bCs/>
        </w:rPr>
        <w:t xml:space="preserve"> Ian O’Donnell </w:t>
      </w:r>
      <w:r>
        <w:t>(</w:t>
      </w:r>
      <w:hyperlink r:id="rId12" w:history="1">
        <w:r w:rsidRPr="00F31303">
          <w:t>ian.odonnell@redcross.org</w:t>
        </w:r>
      </w:hyperlink>
      <w:r>
        <w:t>) and Colin Fernandes (</w:t>
      </w:r>
      <w:r w:rsidRPr="00F31303">
        <w:t>colin.fernandes@redcross.org</w:t>
      </w:r>
      <w:r>
        <w:t>).</w:t>
      </w:r>
    </w:p>
    <w:p w14:paraId="66105BC9" w14:textId="44AEFA6C" w:rsidR="00116141" w:rsidRPr="00B016E3" w:rsidRDefault="00116141" w:rsidP="00B016E3">
      <w:pPr>
        <w:shd w:val="clear" w:color="auto" w:fill="BFBFBF" w:themeFill="background1" w:themeFillShade="BF"/>
        <w:jc w:val="both"/>
        <w:rPr>
          <w:b/>
          <w:bCs/>
        </w:rPr>
      </w:pPr>
      <w:r w:rsidRPr="00B016E3">
        <w:rPr>
          <w:b/>
          <w:bCs/>
        </w:rPr>
        <w:t>Payment Terms</w:t>
      </w:r>
      <w:r w:rsidR="00B016E3">
        <w:rPr>
          <w:b/>
          <w:bCs/>
        </w:rPr>
        <w:t>:</w:t>
      </w:r>
      <w:r w:rsidRPr="00B016E3">
        <w:rPr>
          <w:b/>
          <w:bCs/>
        </w:rPr>
        <w:t xml:space="preserve"> </w:t>
      </w:r>
    </w:p>
    <w:p w14:paraId="117437E0" w14:textId="046D51C7" w:rsidR="00116141" w:rsidRDefault="00116141" w:rsidP="00116141">
      <w:r w:rsidRPr="00116141">
        <w:rPr>
          <w:rFonts w:ascii="Calibri" w:hAnsi="Calibri" w:cs="Calibri"/>
          <w:color w:val="000000"/>
          <w:lang w:val="en-US"/>
        </w:rPr>
        <w:t xml:space="preserve">Payments are all-inclusive and are contingent upon </w:t>
      </w:r>
      <w:r>
        <w:rPr>
          <w:rFonts w:ascii="Calibri" w:hAnsi="Calibri" w:cs="Calibri"/>
          <w:color w:val="000000"/>
          <w:lang w:val="en-US"/>
        </w:rPr>
        <w:t xml:space="preserve">the receipt and approval of </w:t>
      </w:r>
      <w:r w:rsidRPr="00116141">
        <w:rPr>
          <w:rFonts w:ascii="Calibri" w:hAnsi="Calibri" w:cs="Calibri"/>
          <w:color w:val="000000"/>
          <w:lang w:val="en-US"/>
        </w:rPr>
        <w:t xml:space="preserve">above stated deliverables. </w:t>
      </w:r>
      <w:r w:rsidR="00B016E3">
        <w:rPr>
          <w:rFonts w:ascii="Calibri" w:hAnsi="Calibri" w:cs="Calibri"/>
          <w:color w:val="000000"/>
          <w:lang w:val="en-US"/>
        </w:rPr>
        <w:t xml:space="preserve">Payments will be staged </w:t>
      </w:r>
      <w:r w:rsidR="000E29B8">
        <w:rPr>
          <w:rFonts w:ascii="Calibri" w:hAnsi="Calibri" w:cs="Calibri"/>
          <w:color w:val="000000"/>
          <w:lang w:val="en-US"/>
        </w:rPr>
        <w:t>based on completion of</w:t>
      </w:r>
      <w:r w:rsidR="00B016E3">
        <w:rPr>
          <w:rFonts w:ascii="Calibri" w:hAnsi="Calibri" w:cs="Calibri"/>
          <w:color w:val="000000"/>
          <w:lang w:val="en-US"/>
        </w:rPr>
        <w:t xml:space="preserve"> the deliverables according to the following schedule: completion of draft methodology (Deliverable #3) –</w:t>
      </w:r>
      <w:r w:rsidR="000E29B8">
        <w:rPr>
          <w:rFonts w:ascii="Calibri" w:hAnsi="Calibri" w:cs="Calibri"/>
          <w:color w:val="000000"/>
          <w:lang w:val="en-US"/>
        </w:rPr>
        <w:t xml:space="preserve"> 30</w:t>
      </w:r>
      <w:r w:rsidR="00B016E3">
        <w:rPr>
          <w:rFonts w:ascii="Calibri" w:hAnsi="Calibri" w:cs="Calibri"/>
          <w:color w:val="000000"/>
          <w:lang w:val="en-US"/>
        </w:rPr>
        <w:t>% payment; completion of d</w:t>
      </w:r>
      <w:r w:rsidR="00B016E3" w:rsidRPr="00B016E3">
        <w:rPr>
          <w:rFonts w:ascii="Calibri" w:hAnsi="Calibri" w:cs="Calibri"/>
          <w:color w:val="000000"/>
          <w:lang w:val="en-US"/>
        </w:rPr>
        <w:t>esign and pilot delivery of training</w:t>
      </w:r>
      <w:r w:rsidR="00825701">
        <w:rPr>
          <w:rFonts w:ascii="Calibri" w:hAnsi="Calibri" w:cs="Calibri"/>
          <w:color w:val="000000"/>
          <w:lang w:val="en-US"/>
        </w:rPr>
        <w:t xml:space="preserve"> (Deliverable #4</w:t>
      </w:r>
      <w:r w:rsidR="00B016E3">
        <w:rPr>
          <w:rFonts w:ascii="Calibri" w:hAnsi="Calibri" w:cs="Calibri"/>
          <w:color w:val="000000"/>
          <w:lang w:val="en-US"/>
        </w:rPr>
        <w:t>) – 40% payment; completion of final revisions to full set of guidance materials (Deliverables #5 and #6) – 30% payment.</w:t>
      </w:r>
    </w:p>
    <w:sectPr w:rsidR="0011614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702EE" w14:textId="77777777" w:rsidR="006E2644" w:rsidRDefault="006E2644" w:rsidP="00D70EDC">
      <w:pPr>
        <w:spacing w:after="0" w:line="240" w:lineRule="auto"/>
      </w:pPr>
      <w:r>
        <w:separator/>
      </w:r>
    </w:p>
  </w:endnote>
  <w:endnote w:type="continuationSeparator" w:id="0">
    <w:p w14:paraId="25212E52" w14:textId="77777777" w:rsidR="006E2644" w:rsidRDefault="006E2644" w:rsidP="00D70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83A97" w14:textId="77777777" w:rsidR="006E2644" w:rsidRDefault="006E2644" w:rsidP="00D70EDC">
      <w:pPr>
        <w:spacing w:after="0" w:line="240" w:lineRule="auto"/>
      </w:pPr>
      <w:r>
        <w:separator/>
      </w:r>
    </w:p>
  </w:footnote>
  <w:footnote w:type="continuationSeparator" w:id="0">
    <w:p w14:paraId="483533F1" w14:textId="77777777" w:rsidR="006E2644" w:rsidRDefault="006E2644" w:rsidP="00D70EDC">
      <w:pPr>
        <w:spacing w:after="0" w:line="240" w:lineRule="auto"/>
      </w:pPr>
      <w:r>
        <w:continuationSeparator/>
      </w:r>
    </w:p>
  </w:footnote>
  <w:footnote w:id="1">
    <w:p w14:paraId="0E27A5EC" w14:textId="51DEE41C" w:rsidR="001E606C" w:rsidRDefault="00CB2E9B" w:rsidP="001E606C">
      <w:pPr>
        <w:pStyle w:val="FootnoteText"/>
      </w:pPr>
      <w:r>
        <w:rPr>
          <w:rStyle w:val="FootnoteReference"/>
        </w:rPr>
        <w:footnoteRef/>
      </w:r>
      <w:r>
        <w:t xml:space="preserve"> </w:t>
      </w:r>
      <w:hyperlink r:id="rId1" w:history="1">
        <w:r w:rsidR="001E606C" w:rsidRPr="00141C10">
          <w:rPr>
            <w:rStyle w:val="Hyperlink"/>
          </w:rPr>
          <w:t>http://www.ifrc.org/Global/Documents/Secretariat/201501/1284000-Framework%20for%20Community%20Resilience-EN-LR.pdf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54FCE" w14:textId="77777777" w:rsidR="00ED727D" w:rsidRDefault="00ED727D">
    <w:pPr>
      <w:pStyle w:val="Header"/>
    </w:pPr>
    <w:r>
      <w:rPr>
        <w:noProof/>
        <w:lang w:val="en-US"/>
      </w:rPr>
      <w:drawing>
        <wp:inline distT="0" distB="0" distL="0" distR="0" wp14:anchorId="01080895" wp14:editId="2C3DEF62">
          <wp:extent cx="1809750" cy="469413"/>
          <wp:effectExtent l="0" t="0" r="0" b="0"/>
          <wp:docPr id="1" name="Picture 1" descr="D:\Users\colin.fernandes\Documents\AmRC\Logos\Logos\GDPC\GDPC logo - condensed 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olin.fernandes\Documents\AmRC\Logos\Logos\GDPC\GDPC logo - condensed 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4694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E25C84"/>
    <w:multiLevelType w:val="hybridMultilevel"/>
    <w:tmpl w:val="FBD0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7874AF"/>
    <w:multiLevelType w:val="hybridMultilevel"/>
    <w:tmpl w:val="D834C8F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465EDE"/>
    <w:multiLevelType w:val="hybridMultilevel"/>
    <w:tmpl w:val="D976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100B5"/>
    <w:multiLevelType w:val="hybridMultilevel"/>
    <w:tmpl w:val="2E18D206"/>
    <w:lvl w:ilvl="0" w:tplc="3FC0059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DC"/>
    <w:rsid w:val="000038DD"/>
    <w:rsid w:val="000E29B8"/>
    <w:rsid w:val="00112E29"/>
    <w:rsid w:val="0011493D"/>
    <w:rsid w:val="00116141"/>
    <w:rsid w:val="001312D9"/>
    <w:rsid w:val="001E606C"/>
    <w:rsid w:val="00217429"/>
    <w:rsid w:val="002C16A3"/>
    <w:rsid w:val="002F4D20"/>
    <w:rsid w:val="0030568E"/>
    <w:rsid w:val="0033192E"/>
    <w:rsid w:val="00337074"/>
    <w:rsid w:val="00362737"/>
    <w:rsid w:val="00376120"/>
    <w:rsid w:val="003B7785"/>
    <w:rsid w:val="0041552D"/>
    <w:rsid w:val="00445A12"/>
    <w:rsid w:val="00476BFF"/>
    <w:rsid w:val="0047799B"/>
    <w:rsid w:val="004C41E2"/>
    <w:rsid w:val="004E20AB"/>
    <w:rsid w:val="00504E15"/>
    <w:rsid w:val="00526DA5"/>
    <w:rsid w:val="00562507"/>
    <w:rsid w:val="005A5EF1"/>
    <w:rsid w:val="005D0FB2"/>
    <w:rsid w:val="0066342A"/>
    <w:rsid w:val="0067754E"/>
    <w:rsid w:val="006A6AEF"/>
    <w:rsid w:val="006E2644"/>
    <w:rsid w:val="0075175B"/>
    <w:rsid w:val="00764CDE"/>
    <w:rsid w:val="007653D3"/>
    <w:rsid w:val="007D24C9"/>
    <w:rsid w:val="0080584B"/>
    <w:rsid w:val="00812BB8"/>
    <w:rsid w:val="00825701"/>
    <w:rsid w:val="00831075"/>
    <w:rsid w:val="00833790"/>
    <w:rsid w:val="00864C73"/>
    <w:rsid w:val="00885923"/>
    <w:rsid w:val="008E62CD"/>
    <w:rsid w:val="009163D3"/>
    <w:rsid w:val="00966588"/>
    <w:rsid w:val="009A6209"/>
    <w:rsid w:val="009D1476"/>
    <w:rsid w:val="00A20EDF"/>
    <w:rsid w:val="00A31256"/>
    <w:rsid w:val="00A674A5"/>
    <w:rsid w:val="00B016E3"/>
    <w:rsid w:val="00BC05D4"/>
    <w:rsid w:val="00BE23C5"/>
    <w:rsid w:val="00C076B9"/>
    <w:rsid w:val="00C31323"/>
    <w:rsid w:val="00C47943"/>
    <w:rsid w:val="00C662DE"/>
    <w:rsid w:val="00CB2E9B"/>
    <w:rsid w:val="00CB7BE7"/>
    <w:rsid w:val="00CB7D30"/>
    <w:rsid w:val="00CD2DA9"/>
    <w:rsid w:val="00D378AC"/>
    <w:rsid w:val="00D55765"/>
    <w:rsid w:val="00D63624"/>
    <w:rsid w:val="00D70EDC"/>
    <w:rsid w:val="00DD7733"/>
    <w:rsid w:val="00DD7C51"/>
    <w:rsid w:val="00E12DE6"/>
    <w:rsid w:val="00E211C5"/>
    <w:rsid w:val="00EB09F3"/>
    <w:rsid w:val="00EB21D1"/>
    <w:rsid w:val="00ED727D"/>
    <w:rsid w:val="00F052F7"/>
    <w:rsid w:val="00F31303"/>
    <w:rsid w:val="00F74AA5"/>
    <w:rsid w:val="00FD156B"/>
    <w:rsid w:val="00FE78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CEA67"/>
  <w15:docId w15:val="{C7BE4DB0-ADEC-423A-BE60-C3DDA6C5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E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EDC"/>
  </w:style>
  <w:style w:type="paragraph" w:styleId="Footer">
    <w:name w:val="footer"/>
    <w:basedOn w:val="Normal"/>
    <w:link w:val="FooterChar"/>
    <w:uiPriority w:val="99"/>
    <w:unhideWhenUsed/>
    <w:rsid w:val="00D70E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EDC"/>
  </w:style>
  <w:style w:type="paragraph" w:styleId="Subtitle">
    <w:name w:val="Subtitle"/>
    <w:basedOn w:val="Normal"/>
    <w:next w:val="Normal"/>
    <w:link w:val="SubtitleChar"/>
    <w:uiPriority w:val="11"/>
    <w:qFormat/>
    <w:rsid w:val="00764CDE"/>
    <w:pPr>
      <w:numPr>
        <w:ilvl w:val="1"/>
      </w:numPr>
    </w:pPr>
    <w:rPr>
      <w:rFonts w:eastAsiaTheme="majorEastAsia" w:cstheme="majorBidi"/>
      <w:iCs/>
      <w:color w:val="000000" w:themeColor="text1"/>
      <w:spacing w:val="15"/>
      <w:sz w:val="24"/>
      <w:szCs w:val="24"/>
      <w:lang w:val="en-US" w:eastAsia="ko-KR"/>
    </w:rPr>
  </w:style>
  <w:style w:type="character" w:customStyle="1" w:styleId="SubtitleChar">
    <w:name w:val="Subtitle Char"/>
    <w:basedOn w:val="DefaultParagraphFont"/>
    <w:link w:val="Subtitle"/>
    <w:uiPriority w:val="11"/>
    <w:rsid w:val="00764CDE"/>
    <w:rPr>
      <w:rFonts w:eastAsiaTheme="majorEastAsia" w:cstheme="majorBidi"/>
      <w:iCs/>
      <w:color w:val="000000" w:themeColor="text1"/>
      <w:spacing w:val="15"/>
      <w:sz w:val="24"/>
      <w:szCs w:val="24"/>
      <w:lang w:val="en-US" w:eastAsia="ko-KR"/>
    </w:rPr>
  </w:style>
  <w:style w:type="paragraph" w:styleId="Quote">
    <w:name w:val="Quote"/>
    <w:basedOn w:val="Normal"/>
    <w:next w:val="Normal"/>
    <w:link w:val="QuoteChar"/>
    <w:uiPriority w:val="29"/>
    <w:qFormat/>
    <w:rsid w:val="00764CDE"/>
    <w:pPr>
      <w:spacing w:before="160" w:after="160" w:line="300" w:lineRule="auto"/>
      <w:ind w:left="144" w:right="144"/>
      <w:jc w:val="center"/>
    </w:pPr>
    <w:rPr>
      <w:rFonts w:asciiTheme="majorHAnsi" w:eastAsiaTheme="minorEastAsia" w:hAnsiTheme="majorHAnsi"/>
      <w:i/>
      <w:iCs/>
      <w:color w:val="4F81BD" w:themeColor="accent1"/>
      <w:sz w:val="24"/>
      <w:lang w:val="en-US" w:bidi="hi-IN"/>
    </w:rPr>
  </w:style>
  <w:style w:type="character" w:customStyle="1" w:styleId="QuoteChar">
    <w:name w:val="Quote Char"/>
    <w:basedOn w:val="DefaultParagraphFont"/>
    <w:link w:val="Quote"/>
    <w:uiPriority w:val="29"/>
    <w:rsid w:val="00764CDE"/>
    <w:rPr>
      <w:rFonts w:asciiTheme="majorHAnsi" w:eastAsiaTheme="minorEastAsia" w:hAnsiTheme="majorHAnsi"/>
      <w:i/>
      <w:iCs/>
      <w:color w:val="4F81BD" w:themeColor="accent1"/>
      <w:sz w:val="24"/>
      <w:lang w:val="en-US" w:bidi="hi-IN"/>
    </w:rPr>
  </w:style>
  <w:style w:type="paragraph" w:styleId="ListParagraph">
    <w:name w:val="List Paragraph"/>
    <w:basedOn w:val="Normal"/>
    <w:uiPriority w:val="34"/>
    <w:qFormat/>
    <w:rsid w:val="0030568E"/>
    <w:pPr>
      <w:ind w:left="720"/>
      <w:contextualSpacing/>
    </w:pPr>
  </w:style>
  <w:style w:type="character" w:styleId="Hyperlink">
    <w:name w:val="Hyperlink"/>
    <w:basedOn w:val="DefaultParagraphFont"/>
    <w:uiPriority w:val="99"/>
    <w:unhideWhenUsed/>
    <w:rsid w:val="00337074"/>
    <w:rPr>
      <w:color w:val="0000FF" w:themeColor="hyperlink"/>
      <w:u w:val="single"/>
    </w:rPr>
  </w:style>
  <w:style w:type="paragraph" w:styleId="BalloonText">
    <w:name w:val="Balloon Text"/>
    <w:basedOn w:val="Normal"/>
    <w:link w:val="BalloonTextChar"/>
    <w:uiPriority w:val="99"/>
    <w:semiHidden/>
    <w:unhideWhenUsed/>
    <w:rsid w:val="00CD2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DA9"/>
    <w:rPr>
      <w:rFonts w:ascii="Tahoma" w:hAnsi="Tahoma" w:cs="Tahoma"/>
      <w:sz w:val="16"/>
      <w:szCs w:val="16"/>
    </w:rPr>
  </w:style>
  <w:style w:type="character" w:styleId="CommentReference">
    <w:name w:val="annotation reference"/>
    <w:basedOn w:val="DefaultParagraphFont"/>
    <w:uiPriority w:val="99"/>
    <w:semiHidden/>
    <w:unhideWhenUsed/>
    <w:rsid w:val="00ED727D"/>
    <w:rPr>
      <w:sz w:val="18"/>
      <w:szCs w:val="18"/>
    </w:rPr>
  </w:style>
  <w:style w:type="paragraph" w:styleId="CommentText">
    <w:name w:val="annotation text"/>
    <w:basedOn w:val="Normal"/>
    <w:link w:val="CommentTextChar"/>
    <w:uiPriority w:val="99"/>
    <w:semiHidden/>
    <w:unhideWhenUsed/>
    <w:rsid w:val="00ED727D"/>
    <w:pPr>
      <w:spacing w:line="240" w:lineRule="auto"/>
    </w:pPr>
    <w:rPr>
      <w:sz w:val="24"/>
      <w:szCs w:val="24"/>
    </w:rPr>
  </w:style>
  <w:style w:type="character" w:customStyle="1" w:styleId="CommentTextChar">
    <w:name w:val="Comment Text Char"/>
    <w:basedOn w:val="DefaultParagraphFont"/>
    <w:link w:val="CommentText"/>
    <w:uiPriority w:val="99"/>
    <w:semiHidden/>
    <w:rsid w:val="00ED727D"/>
    <w:rPr>
      <w:sz w:val="24"/>
      <w:szCs w:val="24"/>
    </w:rPr>
  </w:style>
  <w:style w:type="paragraph" w:styleId="CommentSubject">
    <w:name w:val="annotation subject"/>
    <w:basedOn w:val="CommentText"/>
    <w:next w:val="CommentText"/>
    <w:link w:val="CommentSubjectChar"/>
    <w:uiPriority w:val="99"/>
    <w:semiHidden/>
    <w:unhideWhenUsed/>
    <w:rsid w:val="00ED727D"/>
    <w:rPr>
      <w:b/>
      <w:bCs/>
      <w:sz w:val="20"/>
      <w:szCs w:val="20"/>
    </w:rPr>
  </w:style>
  <w:style w:type="character" w:customStyle="1" w:styleId="CommentSubjectChar">
    <w:name w:val="Comment Subject Char"/>
    <w:basedOn w:val="CommentTextChar"/>
    <w:link w:val="CommentSubject"/>
    <w:uiPriority w:val="99"/>
    <w:semiHidden/>
    <w:rsid w:val="00ED727D"/>
    <w:rPr>
      <w:b/>
      <w:bCs/>
      <w:sz w:val="20"/>
      <w:szCs w:val="20"/>
    </w:rPr>
  </w:style>
  <w:style w:type="paragraph" w:styleId="FootnoteText">
    <w:name w:val="footnote text"/>
    <w:basedOn w:val="Normal"/>
    <w:link w:val="FootnoteTextChar"/>
    <w:uiPriority w:val="99"/>
    <w:semiHidden/>
    <w:unhideWhenUsed/>
    <w:rsid w:val="00CB2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E9B"/>
    <w:rPr>
      <w:sz w:val="20"/>
      <w:szCs w:val="20"/>
    </w:rPr>
  </w:style>
  <w:style w:type="character" w:styleId="FootnoteReference">
    <w:name w:val="footnote reference"/>
    <w:basedOn w:val="DefaultParagraphFont"/>
    <w:uiPriority w:val="99"/>
    <w:semiHidden/>
    <w:unhideWhenUsed/>
    <w:rsid w:val="00CB2E9B"/>
    <w:rPr>
      <w:vertAlign w:val="superscript"/>
    </w:rPr>
  </w:style>
  <w:style w:type="paragraph" w:customStyle="1" w:styleId="Default">
    <w:name w:val="Default"/>
    <w:rsid w:val="00FD156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E7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n.odonnell@redcros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odonnell@redcross.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rc.org/Global/Documents/Secretariat/201501/1284000-Framework%20for%20Community%20Resilience-EN-L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5022325BE4B46A86F5B437FD405A8" ma:contentTypeVersion="4" ma:contentTypeDescription="Create a new document." ma:contentTypeScope="" ma:versionID="dc5d79df9bf3498e0f4d6051908bb811">
  <xsd:schema xmlns:xsd="http://www.w3.org/2001/XMLSchema" xmlns:xs="http://www.w3.org/2001/XMLSchema" xmlns:p="http://schemas.microsoft.com/office/2006/metadata/properties" xmlns:ns1="http://schemas.microsoft.com/sharepoint/v3" xmlns:ns2="b90a9b57-9c20-43fb-a721-2f68b42d5a02" targetNamespace="http://schemas.microsoft.com/office/2006/metadata/properties" ma:root="true" ma:fieldsID="b54ce531a140c35ce266d0581622160a" ns1:_="" ns2:_="">
    <xsd:import namespace="http://schemas.microsoft.com/sharepoint/v3"/>
    <xsd:import namespace="b90a9b57-9c20-43fb-a721-2f68b42d5a02"/>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a9b57-9c20-43fb-a721-2f68b42d5a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759C-FCE8-460B-A649-C673D638F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a9b57-9c20-43fb-a721-2f68b42d5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0B35C-4269-4622-8192-5C90C6B049B0}">
  <ds:schemaRefs>
    <ds:schemaRef ds:uri="http://schemas.microsoft.com/sharepoint/v3/contenttype/forms"/>
  </ds:schemaRefs>
</ds:datastoreItem>
</file>

<file path=customXml/itemProps3.xml><?xml version="1.0" encoding="utf-8"?>
<ds:datastoreItem xmlns:ds="http://schemas.openxmlformats.org/officeDocument/2006/customXml" ds:itemID="{EFA7730F-A531-4E25-AEC9-948B4CB0212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FDF00DF-4E7E-403D-8913-FD2DD714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Fernandes</dc:creator>
  <cp:lastModifiedBy>O'Donnell, Ian R.</cp:lastModifiedBy>
  <cp:revision>9</cp:revision>
  <cp:lastPrinted>2016-08-02T18:21:00Z</cp:lastPrinted>
  <dcterms:created xsi:type="dcterms:W3CDTF">2016-08-02T19:32:00Z</dcterms:created>
  <dcterms:modified xsi:type="dcterms:W3CDTF">2016-08-02T21:17:00Z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0x0101003325022325BE4B46A86F5B437FD405A8</vt:lpwstr>
  </property>
</Properties>
</file>