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33F" w:rsidRDefault="0001433F">
      <w:pPr>
        <w:pStyle w:val="Standard"/>
        <w:rPr>
          <w:rFonts w:ascii="HelveticaNeueLTStd-Bd" w:hAnsi="HelveticaNeueLTStd-Bd" w:cs="HelveticaNeueLTStd-Bd" w:hint="eastAsia"/>
          <w:color w:val="7A1600"/>
          <w:sz w:val="16"/>
          <w:szCs w:val="16"/>
        </w:rPr>
      </w:pPr>
    </w:p>
    <w:p w:rsidR="0001433F" w:rsidRDefault="0001433F">
      <w:pPr>
        <w:pStyle w:val="Standard"/>
        <w:rPr>
          <w:rFonts w:ascii="HelveticaNeueLTStd-Bd" w:hAnsi="HelveticaNeueLTStd-Bd" w:cs="HelveticaNeueLTStd-Bd" w:hint="eastAsia"/>
          <w:color w:val="7A1600"/>
          <w:sz w:val="16"/>
          <w:szCs w:val="16"/>
        </w:rPr>
      </w:pPr>
    </w:p>
    <w:p w:rsidR="0001433F" w:rsidRDefault="0001433F">
      <w:pPr>
        <w:pStyle w:val="Standard"/>
        <w:rPr>
          <w:rFonts w:ascii="HelveticaNeueLTStd-Bd" w:hAnsi="HelveticaNeueLTStd-Bd" w:cs="HelveticaNeueLTStd-Bd" w:hint="eastAsia"/>
          <w:color w:val="7A1600"/>
          <w:sz w:val="16"/>
          <w:szCs w:val="16"/>
        </w:rPr>
      </w:pPr>
    </w:p>
    <w:p w:rsidR="0001433F" w:rsidRDefault="0001433F">
      <w:pPr>
        <w:pStyle w:val="Standard"/>
        <w:rPr>
          <w:rFonts w:ascii="HelveticaNeueLTStd-Bd" w:hAnsi="HelveticaNeueLTStd-Bd" w:cs="HelveticaNeueLTStd-Bd" w:hint="eastAsia"/>
          <w:color w:val="7A1600"/>
          <w:sz w:val="16"/>
          <w:szCs w:val="16"/>
        </w:rPr>
      </w:pPr>
    </w:p>
    <w:p w:rsidR="0001433F" w:rsidRDefault="0001433F">
      <w:pPr>
        <w:pStyle w:val="Standard"/>
        <w:rPr>
          <w:rFonts w:ascii="HelveticaNeueLTStd-Bd" w:hAnsi="HelveticaNeueLTStd-Bd" w:cs="HelveticaNeueLTStd-Bd" w:hint="eastAsia"/>
          <w:color w:val="7A1600"/>
          <w:sz w:val="16"/>
          <w:szCs w:val="16"/>
        </w:rPr>
      </w:pPr>
    </w:p>
    <w:p w:rsidR="0001433F" w:rsidRDefault="0001433F">
      <w:pPr>
        <w:pStyle w:val="Standard"/>
        <w:rPr>
          <w:rFonts w:ascii="HelveticaNeueLTStd-Bd" w:hAnsi="HelveticaNeueLTStd-Bd" w:cs="HelveticaNeueLTStd-Bd" w:hint="eastAsia"/>
          <w:color w:val="7A1600"/>
          <w:sz w:val="16"/>
          <w:szCs w:val="16"/>
        </w:rPr>
      </w:pPr>
    </w:p>
    <w:p w:rsidR="0001433F" w:rsidRDefault="0001433F">
      <w:pPr>
        <w:pStyle w:val="Standard"/>
        <w:rPr>
          <w:rFonts w:ascii="HelveticaNeueLTStd-Bd" w:hAnsi="HelveticaNeueLTStd-Bd" w:cs="HelveticaNeueLTStd-Bd" w:hint="eastAsia"/>
          <w:color w:val="7A1600"/>
          <w:sz w:val="16"/>
          <w:szCs w:val="16"/>
        </w:rPr>
      </w:pPr>
    </w:p>
    <w:p w:rsidR="0001433F" w:rsidRPr="002F7227" w:rsidRDefault="00C0115D">
      <w:pPr>
        <w:pStyle w:val="Standard"/>
        <w:rPr>
          <w:rFonts w:hint="eastAsia"/>
          <w:lang w:val="fr-LU"/>
        </w:rPr>
      </w:pPr>
      <w:r>
        <w:rPr>
          <w:noProof/>
          <w:lang w:val="fr-LU" w:eastAsia="fr-LU"/>
        </w:rPr>
        <w:drawing>
          <wp:inline distT="0" distB="0" distL="0" distR="0">
            <wp:extent cx="5760720" cy="3837279"/>
            <wp:effectExtent l="0" t="0" r="0" b="0"/>
            <wp:docPr id="3"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760720" cy="3837279"/>
                    </a:xfrm>
                    <a:prstGeom prst="rect">
                      <a:avLst/>
                    </a:prstGeom>
                    <a:ln>
                      <a:noFill/>
                      <a:prstDash/>
                    </a:ln>
                  </pic:spPr>
                </pic:pic>
              </a:graphicData>
            </a:graphic>
          </wp:inline>
        </w:drawing>
      </w:r>
      <w:r>
        <w:rPr>
          <w:rFonts w:ascii="Arial" w:hAnsi="Arial" w:cs="Arial"/>
          <w:color w:val="7A1600"/>
          <w:sz w:val="72"/>
          <w:szCs w:val="72"/>
          <w:lang w:val="fr-CH"/>
        </w:rPr>
        <w:t>Rapport final :</w:t>
      </w:r>
    </w:p>
    <w:p w:rsidR="0001433F" w:rsidRDefault="0001433F">
      <w:pPr>
        <w:pStyle w:val="Standard"/>
        <w:rPr>
          <w:rFonts w:ascii="Arial" w:hAnsi="Arial" w:cs="Arial"/>
          <w:color w:val="7A1600"/>
          <w:sz w:val="72"/>
          <w:szCs w:val="72"/>
          <w:lang w:val="fr-CH"/>
        </w:rPr>
      </w:pPr>
    </w:p>
    <w:p w:rsidR="0001433F" w:rsidRPr="002F7227" w:rsidRDefault="00C0115D">
      <w:pPr>
        <w:pStyle w:val="Standard"/>
        <w:spacing w:after="240" w:line="360" w:lineRule="auto"/>
        <w:jc w:val="center"/>
        <w:rPr>
          <w:rFonts w:hint="eastAsia"/>
          <w:lang w:val="fr-LU"/>
        </w:rPr>
      </w:pPr>
      <w:r>
        <w:rPr>
          <w:rFonts w:ascii="Arial" w:hAnsi="Arial" w:cs="Arial"/>
          <w:color w:val="FF0000"/>
          <w:sz w:val="48"/>
          <w:szCs w:val="48"/>
          <w:lang w:val="fr-CH"/>
        </w:rPr>
        <w:t>P</w:t>
      </w:r>
      <w:proofErr w:type="spellStart"/>
      <w:r>
        <w:rPr>
          <w:rFonts w:ascii="Arial" w:hAnsi="Arial" w:cs="Arial"/>
          <w:bCs/>
          <w:color w:val="FF0000"/>
          <w:sz w:val="48"/>
          <w:szCs w:val="48"/>
          <w:lang w:val="fr-FR"/>
        </w:rPr>
        <w:t>rogramme</w:t>
      </w:r>
      <w:proofErr w:type="spellEnd"/>
      <w:r>
        <w:rPr>
          <w:rFonts w:ascii="Arial" w:hAnsi="Arial" w:cs="Arial"/>
          <w:color w:val="FF0000"/>
          <w:sz w:val="48"/>
          <w:szCs w:val="48"/>
          <w:lang w:val="fr-CH"/>
        </w:rPr>
        <w:t xml:space="preserve"> </w:t>
      </w:r>
      <w:r>
        <w:rPr>
          <w:rFonts w:ascii="Arial" w:hAnsi="Arial" w:cs="Arial"/>
          <w:bCs/>
          <w:color w:val="FF0000"/>
          <w:sz w:val="48"/>
          <w:szCs w:val="48"/>
          <w:lang w:val="fr-FR"/>
        </w:rPr>
        <w:t xml:space="preserve">Régional Afrique </w:t>
      </w:r>
      <w:r>
        <w:rPr>
          <w:rFonts w:ascii="Arial" w:hAnsi="Arial" w:cs="Arial"/>
          <w:bCs/>
          <w:color w:val="FF0000"/>
          <w:sz w:val="48"/>
          <w:szCs w:val="48"/>
          <w:lang w:val="fr-FR"/>
        </w:rPr>
        <w:br/>
        <w:t>de renforcement des capacités</w:t>
      </w:r>
    </w:p>
    <w:p w:rsidR="0001433F" w:rsidRDefault="00C0115D">
      <w:pPr>
        <w:pStyle w:val="Standard"/>
        <w:spacing w:after="240" w:line="360" w:lineRule="auto"/>
        <w:jc w:val="center"/>
        <w:rPr>
          <w:rFonts w:ascii="Arial" w:hAnsi="Arial" w:cs="Arial"/>
          <w:color w:val="FF0000"/>
          <w:sz w:val="48"/>
          <w:szCs w:val="48"/>
          <w:lang w:val="fr-FR"/>
        </w:rPr>
      </w:pPr>
      <w:r>
        <w:rPr>
          <w:rFonts w:ascii="Arial" w:hAnsi="Arial" w:cs="Arial"/>
          <w:color w:val="FF0000"/>
          <w:sz w:val="48"/>
          <w:szCs w:val="48"/>
          <w:lang w:val="fr-FR"/>
        </w:rPr>
        <w:t>dans le secteur des</w:t>
      </w:r>
    </w:p>
    <w:p w:rsidR="0001433F" w:rsidRDefault="00C0115D">
      <w:pPr>
        <w:pStyle w:val="Standard"/>
        <w:spacing w:after="240" w:line="360" w:lineRule="auto"/>
        <w:jc w:val="center"/>
        <w:rPr>
          <w:rFonts w:ascii="Arial" w:hAnsi="Arial" w:cs="Arial"/>
          <w:color w:val="FF0000"/>
          <w:sz w:val="48"/>
          <w:szCs w:val="48"/>
          <w:lang w:val="fr-FR"/>
        </w:rPr>
      </w:pPr>
      <w:r>
        <w:rPr>
          <w:rFonts w:ascii="Arial" w:hAnsi="Arial" w:cs="Arial"/>
          <w:color w:val="FF0000"/>
          <w:sz w:val="48"/>
          <w:szCs w:val="48"/>
          <w:lang w:val="fr-FR"/>
        </w:rPr>
        <w:t>ABRIS ET ETABLISSEMENTS HUMAINS</w:t>
      </w:r>
    </w:p>
    <w:p w:rsidR="0001433F" w:rsidRPr="002F7227" w:rsidRDefault="00C0115D">
      <w:pPr>
        <w:pStyle w:val="Standard"/>
        <w:rPr>
          <w:rFonts w:hint="eastAsia"/>
          <w:lang w:val="fr-LU"/>
        </w:rPr>
      </w:pPr>
      <w:r>
        <w:rPr>
          <w:rFonts w:ascii="Arial" w:hAnsi="Arial" w:cs="Arial"/>
          <w:bCs/>
          <w:color w:val="FF0000"/>
          <w:sz w:val="56"/>
          <w:szCs w:val="56"/>
          <w:lang w:val="fr-FR"/>
        </w:rPr>
        <w:tab/>
      </w:r>
      <w:r>
        <w:rPr>
          <w:rFonts w:ascii="Arial" w:hAnsi="Arial" w:cs="Arial"/>
          <w:bCs/>
          <w:color w:val="FF0000"/>
          <w:sz w:val="56"/>
          <w:szCs w:val="56"/>
          <w:lang w:val="fr-FR"/>
        </w:rPr>
        <w:tab/>
      </w:r>
      <w:r>
        <w:rPr>
          <w:rFonts w:ascii="Arial" w:hAnsi="Arial" w:cs="Arial"/>
          <w:bCs/>
          <w:color w:val="FF0000"/>
          <w:sz w:val="56"/>
          <w:szCs w:val="56"/>
          <w:lang w:val="fr-FR"/>
        </w:rPr>
        <w:tab/>
      </w:r>
      <w:r>
        <w:rPr>
          <w:rFonts w:ascii="Arial" w:hAnsi="Arial" w:cs="Arial"/>
          <w:bCs/>
          <w:color w:val="FF0000"/>
          <w:sz w:val="56"/>
          <w:szCs w:val="56"/>
          <w:lang w:val="fr-FR"/>
        </w:rPr>
        <w:tab/>
      </w:r>
      <w:r>
        <w:rPr>
          <w:rFonts w:ascii="Arial" w:hAnsi="Arial" w:cs="Arial"/>
          <w:bCs/>
          <w:color w:val="FF0000"/>
          <w:sz w:val="56"/>
          <w:szCs w:val="56"/>
          <w:lang w:val="fr-FR"/>
        </w:rPr>
        <w:tab/>
      </w:r>
      <w:r>
        <w:rPr>
          <w:rFonts w:ascii="Arial" w:hAnsi="Arial" w:cs="Arial"/>
          <w:bCs/>
          <w:color w:val="FF0000"/>
          <w:sz w:val="56"/>
          <w:szCs w:val="56"/>
          <w:lang w:val="fr-FR"/>
        </w:rPr>
        <w:tab/>
      </w:r>
      <w:r>
        <w:rPr>
          <w:rFonts w:ascii="Arial" w:hAnsi="Arial" w:cs="Arial"/>
          <w:bCs/>
          <w:color w:val="FF0000"/>
          <w:sz w:val="56"/>
          <w:szCs w:val="56"/>
          <w:lang w:val="fr-FR"/>
        </w:rPr>
        <w:tab/>
      </w:r>
      <w:r>
        <w:rPr>
          <w:rFonts w:ascii="Arial" w:hAnsi="Arial" w:cs="Arial"/>
          <w:bCs/>
          <w:color w:val="FF0000"/>
          <w:sz w:val="56"/>
          <w:szCs w:val="56"/>
          <w:lang w:val="fr-FR"/>
        </w:rPr>
        <w:tab/>
        <w:t xml:space="preserve">  </w:t>
      </w:r>
      <w:r>
        <w:rPr>
          <w:rFonts w:ascii="Arial" w:hAnsi="Arial" w:cs="Arial"/>
          <w:color w:val="88746A"/>
          <w:sz w:val="36"/>
          <w:szCs w:val="36"/>
          <w:lang w:val="fr-CH"/>
        </w:rPr>
        <w:t>22 Novembre 2019</w:t>
      </w:r>
    </w:p>
    <w:p w:rsidR="0001433F" w:rsidRDefault="0001433F">
      <w:pPr>
        <w:pStyle w:val="Standard"/>
        <w:tabs>
          <w:tab w:val="left" w:pos="7335"/>
        </w:tabs>
        <w:rPr>
          <w:rFonts w:ascii="CaeciliaLTStd-Light" w:hAnsi="CaeciliaLTStd-Light" w:cs="CaeciliaLTStd-Light" w:hint="eastAsia"/>
          <w:color w:val="88746A"/>
          <w:sz w:val="36"/>
          <w:szCs w:val="36"/>
          <w:lang w:val="fr-CH"/>
        </w:rPr>
      </w:pPr>
    </w:p>
    <w:p w:rsidR="0001433F" w:rsidRDefault="0001433F">
      <w:pPr>
        <w:pStyle w:val="Paragraphedeliste"/>
        <w:ind w:left="0"/>
        <w:rPr>
          <w:rFonts w:ascii="HelveticaNeueLTStd-Hv" w:hAnsi="HelveticaNeueLTStd-Hv" w:cs="HelveticaNeueLTStd-Hv" w:hint="eastAsia"/>
          <w:color w:val="7A1600"/>
          <w:sz w:val="44"/>
          <w:szCs w:val="44"/>
          <w:lang w:val="fr-CH"/>
        </w:rPr>
      </w:pPr>
    </w:p>
    <w:p w:rsidR="0001433F" w:rsidRDefault="00C0115D">
      <w:pPr>
        <w:pStyle w:val="Paragraphedeliste"/>
        <w:ind w:left="0"/>
        <w:rPr>
          <w:rFonts w:ascii="HelveticaNeueLTStd-Hv" w:hAnsi="HelveticaNeueLTStd-Hv" w:cs="HelveticaNeueLTStd-Hv" w:hint="eastAsia"/>
          <w:color w:val="7A1600"/>
          <w:sz w:val="44"/>
          <w:szCs w:val="44"/>
          <w:lang w:val="fr-CH"/>
        </w:rPr>
      </w:pPr>
      <w:r>
        <w:rPr>
          <w:rFonts w:ascii="HelveticaNeueLTStd-Hv" w:hAnsi="HelveticaNeueLTStd-Hv" w:cs="HelveticaNeueLTStd-Hv"/>
          <w:color w:val="7A1600"/>
          <w:sz w:val="44"/>
          <w:szCs w:val="44"/>
          <w:lang w:val="fr-CH"/>
        </w:rPr>
        <w:t>Sommaire</w:t>
      </w:r>
    </w:p>
    <w:p w:rsidR="0001433F" w:rsidRDefault="0001433F">
      <w:pPr>
        <w:pStyle w:val="Paragraphedeliste"/>
        <w:ind w:left="0"/>
        <w:rPr>
          <w:rFonts w:ascii="HelveticaNeueLTStd-Hv" w:hAnsi="HelveticaNeueLTStd-Hv" w:cs="HelveticaNeueLTStd-Hv" w:hint="eastAsia"/>
          <w:color w:val="7A1600"/>
          <w:sz w:val="44"/>
          <w:szCs w:val="44"/>
          <w:lang w:val="fr-CH"/>
        </w:rPr>
      </w:pPr>
    </w:p>
    <w:p w:rsidR="0001433F" w:rsidRDefault="00C0115D">
      <w:pPr>
        <w:pStyle w:val="Standard"/>
        <w:rPr>
          <w:rFonts w:ascii="HelveticaNeueLTStd-Bd" w:hAnsi="HelveticaNeueLTStd-Bd" w:cs="HelveticaNeueLTStd-Bd" w:hint="eastAsia"/>
          <w:color w:val="EF3124"/>
          <w:sz w:val="28"/>
          <w:szCs w:val="28"/>
          <w:lang w:val="fr-CH"/>
        </w:rPr>
      </w:pPr>
      <w:r>
        <w:rPr>
          <w:rFonts w:ascii="HelveticaNeueLTStd-Bd" w:hAnsi="HelveticaNeueLTStd-Bd" w:cs="HelveticaNeueLTStd-Bd"/>
          <w:color w:val="EF3124"/>
          <w:sz w:val="28"/>
          <w:szCs w:val="28"/>
          <w:lang w:val="fr-CH"/>
        </w:rPr>
        <w:t>1. Introduction</w:t>
      </w:r>
    </w:p>
    <w:p w:rsidR="0001433F" w:rsidRPr="002F7227" w:rsidRDefault="0001433F">
      <w:pPr>
        <w:pStyle w:val="Standard"/>
        <w:rPr>
          <w:rFonts w:ascii="HelveticaNeueLTStd-Bd" w:hAnsi="HelveticaNeueLTStd-Bd" w:cs="HelveticaNeueLTStd-Bd" w:hint="eastAsia"/>
          <w:color w:val="EF3124"/>
          <w:sz w:val="28"/>
          <w:szCs w:val="28"/>
          <w:lang w:val="fr-LU"/>
        </w:rPr>
      </w:pPr>
    </w:p>
    <w:p w:rsidR="0001433F" w:rsidRPr="002F7227" w:rsidRDefault="00C0115D">
      <w:pPr>
        <w:pStyle w:val="Standard"/>
        <w:rPr>
          <w:rFonts w:ascii="HelveticaNeueLTStd-Bd" w:hAnsi="HelveticaNeueLTStd-Bd" w:cs="HelveticaNeueLTStd-Bd" w:hint="eastAsia"/>
          <w:color w:val="EF3124"/>
          <w:sz w:val="28"/>
          <w:szCs w:val="28"/>
          <w:lang w:val="fr-LU"/>
        </w:rPr>
      </w:pPr>
      <w:r w:rsidRPr="002F7227">
        <w:rPr>
          <w:rFonts w:ascii="HelveticaNeueLTStd-Bd" w:hAnsi="HelveticaNeueLTStd-Bd" w:cs="HelveticaNeueLTStd-Bd"/>
          <w:color w:val="EF3124"/>
          <w:sz w:val="28"/>
          <w:szCs w:val="28"/>
          <w:lang w:val="fr-LU"/>
        </w:rPr>
        <w:t>2. Objectif général des formations</w:t>
      </w:r>
    </w:p>
    <w:p w:rsidR="0001433F" w:rsidRPr="002F7227" w:rsidRDefault="0001433F">
      <w:pPr>
        <w:pStyle w:val="Standard"/>
        <w:rPr>
          <w:rFonts w:ascii="HelveticaNeueLTStd-Bd" w:hAnsi="HelveticaNeueLTStd-Bd" w:cs="HelveticaNeueLTStd-Bd" w:hint="eastAsia"/>
          <w:color w:val="EF3124"/>
          <w:sz w:val="28"/>
          <w:szCs w:val="28"/>
          <w:lang w:val="fr-LU"/>
        </w:rPr>
      </w:pPr>
    </w:p>
    <w:p w:rsidR="0001433F" w:rsidRDefault="00C0115D">
      <w:pPr>
        <w:pStyle w:val="Standard"/>
        <w:rPr>
          <w:rFonts w:ascii="HelveticaNeueLTStd-Bd" w:hAnsi="HelveticaNeueLTStd-Bd" w:cs="HelveticaNeueLTStd-Bd" w:hint="eastAsia"/>
          <w:color w:val="EF3124"/>
          <w:sz w:val="28"/>
          <w:szCs w:val="28"/>
          <w:lang w:val="fr-CH"/>
        </w:rPr>
      </w:pPr>
      <w:r>
        <w:rPr>
          <w:rFonts w:ascii="HelveticaNeueLTStd-Bd" w:hAnsi="HelveticaNeueLTStd-Bd" w:cs="HelveticaNeueLTStd-Bd"/>
          <w:color w:val="EF3124"/>
          <w:sz w:val="28"/>
          <w:szCs w:val="28"/>
          <w:lang w:val="fr-CH"/>
        </w:rPr>
        <w:t>3. Objectifs détaillés des formations</w:t>
      </w:r>
    </w:p>
    <w:p w:rsidR="0001433F" w:rsidRDefault="0001433F">
      <w:pPr>
        <w:pStyle w:val="Standard"/>
        <w:rPr>
          <w:rFonts w:ascii="HelveticaNeueLTStd-Bd" w:hAnsi="HelveticaNeueLTStd-Bd" w:cs="HelveticaNeueLTStd-Bd" w:hint="eastAsia"/>
          <w:color w:val="EF3124"/>
          <w:sz w:val="28"/>
          <w:szCs w:val="28"/>
          <w:lang w:val="fr-CH"/>
        </w:rPr>
      </w:pPr>
    </w:p>
    <w:p w:rsidR="0001433F" w:rsidRPr="002F7227" w:rsidRDefault="00C0115D">
      <w:pPr>
        <w:pStyle w:val="Standard"/>
        <w:rPr>
          <w:rFonts w:hint="eastAsia"/>
          <w:lang w:val="fr-LU"/>
        </w:rPr>
      </w:pPr>
      <w:r>
        <w:rPr>
          <w:rFonts w:ascii="HelveticaNeueLTStd-Bd" w:hAnsi="HelveticaNeueLTStd-Bd" w:cs="HelveticaNeueLTStd-Bd"/>
          <w:color w:val="EF3124"/>
          <w:sz w:val="28"/>
          <w:szCs w:val="28"/>
          <w:lang w:val="fr-CH"/>
        </w:rPr>
        <w:t xml:space="preserve">4. Sélection des </w:t>
      </w:r>
      <w:proofErr w:type="spellStart"/>
      <w:r>
        <w:rPr>
          <w:rFonts w:ascii="HelveticaNeueLTStd-Bd" w:hAnsi="HelveticaNeueLTStd-Bd" w:cs="HelveticaNeueLTStd-Bd"/>
          <w:color w:val="EF3124"/>
          <w:sz w:val="28"/>
          <w:szCs w:val="28"/>
          <w:lang w:val="fr-CH"/>
        </w:rPr>
        <w:t>particpants</w:t>
      </w:r>
      <w:proofErr w:type="spellEnd"/>
      <w:r>
        <w:rPr>
          <w:rFonts w:ascii="HelveticaNeueLTStd-Bd" w:hAnsi="HelveticaNeueLTStd-Bd" w:cs="HelveticaNeueLTStd-Bd"/>
          <w:color w:val="EF3124"/>
          <w:sz w:val="28"/>
          <w:szCs w:val="28"/>
          <w:lang w:val="fr-CH"/>
        </w:rPr>
        <w:t xml:space="preserve"> </w:t>
      </w:r>
      <w:r>
        <w:rPr>
          <w:rFonts w:ascii="HelveticaNeueLTStd-Bd" w:hAnsi="HelveticaNeueLTStd-Bd" w:cs="HelveticaNeueLTStd-Bd"/>
          <w:sz w:val="20"/>
          <w:szCs w:val="20"/>
          <w:lang w:val="fr-CH"/>
        </w:rPr>
        <w:t xml:space="preserve"> </w:t>
      </w:r>
    </w:p>
    <w:p w:rsidR="0001433F" w:rsidRDefault="0001433F">
      <w:pPr>
        <w:pStyle w:val="Standard"/>
        <w:rPr>
          <w:rFonts w:ascii="HelveticaNeueLTStd-Bd" w:hAnsi="HelveticaNeueLTStd-Bd" w:cs="HelveticaNeueLTStd-Bd" w:hint="eastAsia"/>
          <w:color w:val="EF3124"/>
          <w:sz w:val="28"/>
          <w:szCs w:val="28"/>
          <w:lang w:val="fr-CH"/>
        </w:rPr>
      </w:pPr>
    </w:p>
    <w:p w:rsidR="0001433F" w:rsidRPr="002F7227" w:rsidRDefault="00C0115D">
      <w:pPr>
        <w:pStyle w:val="Standard"/>
        <w:rPr>
          <w:rFonts w:hint="eastAsia"/>
          <w:lang w:val="fr-LU"/>
        </w:rPr>
      </w:pPr>
      <w:r w:rsidRPr="002F7227">
        <w:rPr>
          <w:rFonts w:ascii="HelveticaNeueLTStd-Bd" w:hAnsi="HelveticaNeueLTStd-Bd" w:cs="HelveticaNeueLTStd-Bd"/>
          <w:color w:val="EF3124"/>
          <w:sz w:val="28"/>
          <w:szCs w:val="28"/>
          <w:lang w:val="fr-LU"/>
        </w:rPr>
        <w:t>5. Animation des formations</w:t>
      </w:r>
    </w:p>
    <w:p w:rsidR="0001433F" w:rsidRPr="002F7227" w:rsidRDefault="0001433F">
      <w:pPr>
        <w:pStyle w:val="Standard"/>
        <w:rPr>
          <w:rFonts w:ascii="HelveticaNeueLTStd-Bd" w:hAnsi="HelveticaNeueLTStd-Bd" w:cs="HelveticaNeueLTStd-Bd" w:hint="eastAsia"/>
          <w:color w:val="EF3124"/>
          <w:sz w:val="28"/>
          <w:szCs w:val="28"/>
          <w:lang w:val="fr-LU"/>
        </w:rPr>
      </w:pPr>
    </w:p>
    <w:p w:rsidR="0001433F" w:rsidRPr="002F7227" w:rsidRDefault="00C0115D">
      <w:pPr>
        <w:pStyle w:val="Standard"/>
        <w:rPr>
          <w:rFonts w:ascii="HelveticaNeueLTStd-Bd" w:hAnsi="HelveticaNeueLTStd-Bd" w:cs="HelveticaNeueLTStd-Bd" w:hint="eastAsia"/>
          <w:color w:val="EF3124"/>
          <w:sz w:val="28"/>
          <w:szCs w:val="28"/>
          <w:lang w:val="fr-LU"/>
        </w:rPr>
      </w:pPr>
      <w:r w:rsidRPr="002F7227">
        <w:rPr>
          <w:rFonts w:ascii="HelveticaNeueLTStd-Bd" w:hAnsi="HelveticaNeueLTStd-Bd" w:cs="HelveticaNeueLTStd-Bd"/>
          <w:color w:val="EF3124"/>
          <w:sz w:val="28"/>
          <w:szCs w:val="28"/>
          <w:lang w:val="fr-LU"/>
        </w:rPr>
        <w:t>6. Déroulement des formations</w:t>
      </w:r>
    </w:p>
    <w:p w:rsidR="0001433F" w:rsidRPr="002F7227" w:rsidRDefault="0001433F">
      <w:pPr>
        <w:pStyle w:val="Standard"/>
        <w:rPr>
          <w:rFonts w:ascii="HelveticaNeueLTStd-Bd" w:hAnsi="HelveticaNeueLTStd-Bd" w:cs="HelveticaNeueLTStd-Bd" w:hint="eastAsia"/>
          <w:color w:val="EF3124"/>
          <w:sz w:val="28"/>
          <w:szCs w:val="28"/>
          <w:lang w:val="fr-LU"/>
        </w:rPr>
      </w:pPr>
    </w:p>
    <w:p w:rsidR="0001433F" w:rsidRPr="002F7227" w:rsidRDefault="00C0115D">
      <w:pPr>
        <w:pStyle w:val="Standard"/>
        <w:rPr>
          <w:rFonts w:ascii="HelveticaNeueLTStd-Bd" w:hAnsi="HelveticaNeueLTStd-Bd" w:cs="HelveticaNeueLTStd-Bd" w:hint="eastAsia"/>
          <w:color w:val="EF3124"/>
          <w:sz w:val="28"/>
          <w:szCs w:val="28"/>
          <w:lang w:val="fr-LU"/>
        </w:rPr>
      </w:pPr>
      <w:r w:rsidRPr="002F7227">
        <w:rPr>
          <w:rFonts w:ascii="HelveticaNeueLTStd-Bd" w:hAnsi="HelveticaNeueLTStd-Bd" w:cs="HelveticaNeueLTStd-Bd"/>
          <w:color w:val="EF3124"/>
          <w:sz w:val="28"/>
          <w:szCs w:val="28"/>
          <w:lang w:val="fr-LU"/>
        </w:rPr>
        <w:t>7. Contenus des formations</w:t>
      </w:r>
    </w:p>
    <w:p w:rsidR="0001433F" w:rsidRPr="002F7227" w:rsidRDefault="0001433F">
      <w:pPr>
        <w:pStyle w:val="Standard"/>
        <w:rPr>
          <w:rFonts w:ascii="HelveticaNeueLTStd-Bd" w:hAnsi="HelveticaNeueLTStd-Bd" w:cs="HelveticaNeueLTStd-Bd" w:hint="eastAsia"/>
          <w:color w:val="EF3124"/>
          <w:sz w:val="28"/>
          <w:szCs w:val="28"/>
          <w:lang w:val="fr-LU"/>
        </w:rPr>
      </w:pPr>
    </w:p>
    <w:p w:rsidR="0001433F" w:rsidRPr="002F7227" w:rsidRDefault="00C0115D">
      <w:pPr>
        <w:pStyle w:val="Standard"/>
        <w:rPr>
          <w:rFonts w:hint="eastAsia"/>
          <w:lang w:val="fr-LU"/>
        </w:rPr>
      </w:pPr>
      <w:r w:rsidRPr="002F7227">
        <w:rPr>
          <w:rFonts w:ascii="HelveticaNeueLTStd-Bd" w:hAnsi="HelveticaNeueLTStd-Bd" w:cs="HelveticaNeueLTStd-Bd"/>
          <w:color w:val="EF3124"/>
          <w:sz w:val="28"/>
          <w:szCs w:val="28"/>
          <w:lang w:val="fr-LU"/>
        </w:rPr>
        <w:t>8. Modules de la formation</w:t>
      </w:r>
    </w:p>
    <w:p w:rsidR="0001433F" w:rsidRPr="002F7227" w:rsidRDefault="0001433F">
      <w:pPr>
        <w:pStyle w:val="Standard"/>
        <w:rPr>
          <w:rFonts w:ascii="HelveticaNeueLTStd-Bd" w:hAnsi="HelveticaNeueLTStd-Bd" w:cs="HelveticaNeueLTStd-Bd" w:hint="eastAsia"/>
          <w:color w:val="EF3124"/>
          <w:sz w:val="28"/>
          <w:szCs w:val="28"/>
          <w:lang w:val="fr-LU"/>
        </w:rPr>
      </w:pPr>
    </w:p>
    <w:p w:rsidR="0001433F" w:rsidRPr="002F7227" w:rsidRDefault="00C0115D">
      <w:pPr>
        <w:pStyle w:val="Standard"/>
        <w:rPr>
          <w:rFonts w:hint="eastAsia"/>
          <w:lang w:val="fr-LU"/>
        </w:rPr>
      </w:pPr>
      <w:r>
        <w:rPr>
          <w:rFonts w:ascii="HelveticaNeueLTStd-Bd" w:hAnsi="HelveticaNeueLTStd-Bd" w:cs="HelveticaNeueLTStd-Bd"/>
          <w:color w:val="EF3124"/>
          <w:sz w:val="28"/>
          <w:szCs w:val="28"/>
          <w:lang w:val="fr-CH"/>
        </w:rPr>
        <w:t>9. Résultats attendus</w:t>
      </w:r>
    </w:p>
    <w:p w:rsidR="0001433F" w:rsidRDefault="0001433F">
      <w:pPr>
        <w:pStyle w:val="Standard"/>
        <w:rPr>
          <w:rFonts w:ascii="HelveticaNeueLTStd-Hv" w:hAnsi="HelveticaNeueLTStd-Hv" w:cs="HelveticaNeueLTStd-Hv" w:hint="eastAsia"/>
          <w:color w:val="7A1600"/>
          <w:sz w:val="44"/>
          <w:szCs w:val="44"/>
          <w:lang w:val="fr-CH"/>
        </w:rPr>
      </w:pPr>
    </w:p>
    <w:p w:rsidR="0001433F" w:rsidRDefault="00C0115D">
      <w:pPr>
        <w:pStyle w:val="Standard"/>
        <w:rPr>
          <w:rFonts w:ascii="HelveticaNeueLTStd-Bd" w:hAnsi="HelveticaNeueLTStd-Bd" w:cs="HelveticaNeueLTStd-Bd" w:hint="eastAsia"/>
          <w:color w:val="EF3124"/>
          <w:sz w:val="28"/>
          <w:szCs w:val="28"/>
          <w:lang w:val="fr-CH"/>
        </w:rPr>
      </w:pPr>
      <w:r>
        <w:rPr>
          <w:rFonts w:ascii="HelveticaNeueLTStd-Bd" w:hAnsi="HelveticaNeueLTStd-Bd" w:cs="HelveticaNeueLTStd-Bd"/>
          <w:color w:val="EF3124"/>
          <w:sz w:val="28"/>
          <w:szCs w:val="28"/>
          <w:lang w:val="fr-CH"/>
        </w:rPr>
        <w:t>10. Résultat des évaluations</w:t>
      </w:r>
    </w:p>
    <w:p w:rsidR="0001433F" w:rsidRDefault="0001433F">
      <w:pPr>
        <w:pStyle w:val="Standard"/>
        <w:rPr>
          <w:rFonts w:ascii="HelveticaNeueLTStd-Bd" w:hAnsi="HelveticaNeueLTStd-Bd" w:cs="HelveticaNeueLTStd-Bd" w:hint="eastAsia"/>
          <w:color w:val="EF3124"/>
          <w:sz w:val="28"/>
          <w:szCs w:val="28"/>
          <w:lang w:val="fr-CH"/>
        </w:rPr>
      </w:pPr>
    </w:p>
    <w:p w:rsidR="0001433F" w:rsidRDefault="00C0115D">
      <w:pPr>
        <w:pStyle w:val="Standard"/>
        <w:rPr>
          <w:rFonts w:ascii="HelveticaNeueLTStd-Bd" w:hAnsi="HelveticaNeueLTStd-Bd" w:cs="HelveticaNeueLTStd-Bd" w:hint="eastAsia"/>
          <w:color w:val="EF3124"/>
          <w:sz w:val="28"/>
          <w:szCs w:val="28"/>
          <w:lang w:val="fr-CH"/>
        </w:rPr>
      </w:pPr>
      <w:r>
        <w:rPr>
          <w:rFonts w:ascii="HelveticaNeueLTStd-Bd" w:hAnsi="HelveticaNeueLTStd-Bd" w:cs="HelveticaNeueLTStd-Bd"/>
          <w:color w:val="EF3124"/>
          <w:sz w:val="28"/>
          <w:szCs w:val="28"/>
          <w:lang w:val="fr-CH"/>
        </w:rPr>
        <w:t>11. Les prochaines étapes</w:t>
      </w:r>
    </w:p>
    <w:p w:rsidR="0001433F" w:rsidRDefault="0001433F">
      <w:pPr>
        <w:pStyle w:val="Standard"/>
        <w:rPr>
          <w:rFonts w:ascii="HelveticaNeueLTStd-Bd" w:hAnsi="HelveticaNeueLTStd-Bd" w:cs="HelveticaNeueLTStd-Bd" w:hint="eastAsia"/>
          <w:color w:val="EF3124"/>
          <w:sz w:val="28"/>
          <w:szCs w:val="28"/>
          <w:lang w:val="fr-CH"/>
        </w:rPr>
      </w:pPr>
    </w:p>
    <w:p w:rsidR="0001433F" w:rsidRDefault="00C0115D">
      <w:pPr>
        <w:pStyle w:val="Standard"/>
        <w:rPr>
          <w:rFonts w:ascii="HelveticaNeueLTStd-Bd" w:hAnsi="HelveticaNeueLTStd-Bd" w:cs="HelveticaNeueLTStd-Bd" w:hint="eastAsia"/>
          <w:color w:val="EF3124"/>
          <w:sz w:val="28"/>
          <w:szCs w:val="28"/>
          <w:lang w:val="fr-CH"/>
        </w:rPr>
      </w:pPr>
      <w:r>
        <w:rPr>
          <w:rFonts w:ascii="HelveticaNeueLTStd-Bd" w:hAnsi="HelveticaNeueLTStd-Bd" w:cs="HelveticaNeueLTStd-Bd"/>
          <w:color w:val="EF3124"/>
          <w:sz w:val="28"/>
          <w:szCs w:val="28"/>
          <w:lang w:val="fr-CH"/>
        </w:rPr>
        <w:t>12. Les documents annexes</w:t>
      </w:r>
    </w:p>
    <w:p w:rsidR="00DA7CC6" w:rsidRDefault="00DA7CC6">
      <w:pPr>
        <w:rPr>
          <w:rFonts w:ascii="HelveticaNeueLTStd-Hv" w:hAnsi="HelveticaNeueLTStd-Hv" w:cs="HelveticaNeueLTStd-Hv" w:hint="eastAsia"/>
          <w:color w:val="7A1600"/>
          <w:sz w:val="44"/>
          <w:szCs w:val="44"/>
          <w:lang w:val="fr-CH"/>
        </w:rPr>
      </w:pPr>
      <w:r>
        <w:rPr>
          <w:rFonts w:ascii="HelveticaNeueLTStd-Hv" w:hAnsi="HelveticaNeueLTStd-Hv" w:cs="HelveticaNeueLTStd-Hv" w:hint="eastAsia"/>
          <w:color w:val="7A1600"/>
          <w:sz w:val="44"/>
          <w:szCs w:val="44"/>
          <w:lang w:val="fr-CH"/>
        </w:rPr>
        <w:br w:type="page"/>
      </w:r>
    </w:p>
    <w:p w:rsidR="0001433F" w:rsidRDefault="00C0115D">
      <w:pPr>
        <w:pStyle w:val="Paragraphedeliste"/>
        <w:ind w:left="0"/>
        <w:rPr>
          <w:rFonts w:ascii="HelveticaNeueLTStd-Hv" w:hAnsi="HelveticaNeueLTStd-Hv" w:cs="HelveticaNeueLTStd-Hv" w:hint="eastAsia"/>
          <w:color w:val="7A1600"/>
          <w:sz w:val="44"/>
          <w:szCs w:val="44"/>
          <w:lang w:val="fr-CH"/>
        </w:rPr>
      </w:pPr>
      <w:r>
        <w:rPr>
          <w:rFonts w:ascii="HelveticaNeueLTStd-Hv" w:hAnsi="HelveticaNeueLTStd-Hv" w:cs="HelveticaNeueLTStd-Hv"/>
          <w:color w:val="7A1600"/>
          <w:sz w:val="44"/>
          <w:szCs w:val="44"/>
          <w:lang w:val="fr-CH"/>
        </w:rPr>
        <w:lastRenderedPageBreak/>
        <w:t>1. Introduction</w:t>
      </w:r>
    </w:p>
    <w:p w:rsidR="0001433F" w:rsidRDefault="0001433F">
      <w:pPr>
        <w:pStyle w:val="Paragraphedeliste"/>
        <w:rPr>
          <w:lang w:val="fr-CH"/>
        </w:rPr>
      </w:pPr>
    </w:p>
    <w:p w:rsidR="0001433F" w:rsidRDefault="0001433F">
      <w:pPr>
        <w:pStyle w:val="Standard"/>
        <w:rPr>
          <w:rFonts w:ascii="HelveticaNeueLTStd-Bd" w:hAnsi="HelveticaNeueLTStd-Bd" w:cs="HelveticaNeueLTStd-Bd" w:hint="eastAsia"/>
          <w:color w:val="EF3124"/>
          <w:sz w:val="28"/>
          <w:szCs w:val="28"/>
          <w:lang w:val="fr-CH"/>
        </w:rPr>
      </w:pPr>
    </w:p>
    <w:p w:rsidR="0001433F" w:rsidRDefault="00C0115D">
      <w:pPr>
        <w:pStyle w:val="Standard"/>
        <w:spacing w:after="240"/>
        <w:jc w:val="both"/>
        <w:rPr>
          <w:rFonts w:hint="eastAsia"/>
          <w:lang w:val="fr-FR"/>
        </w:rPr>
      </w:pPr>
      <w:r>
        <w:rPr>
          <w:lang w:val="fr-FR"/>
        </w:rPr>
        <w:t>Depuis son engagement de prendre le rôle de chef de file du groupe sectoriel des « Abris et Etablissements humains », en cas de catastrophes naturelles, la Fédération Internationale de la Croix Rouge et du Croissant Rouge (FICR) s’est engagée à renforcer les capacités des Sociétés Nationales assurant la formation de personnes qualifiées, et expérimentées au niveau Régional afin de répondre au mieux en termes d’assistance dans ce secteur technique.</w:t>
      </w:r>
    </w:p>
    <w:p w:rsidR="0001433F" w:rsidRDefault="00C0115D">
      <w:pPr>
        <w:pStyle w:val="Standard"/>
        <w:jc w:val="both"/>
        <w:rPr>
          <w:rFonts w:hint="eastAsia"/>
          <w:lang w:val="fr-FR"/>
        </w:rPr>
      </w:pPr>
      <w:r>
        <w:rPr>
          <w:lang w:val="fr-FR"/>
        </w:rPr>
        <w:t>Au sein du mouvement, l’aide en termes d’Abris et Établissements humains est un secteur d’intervention aux opérations du Fonds de secours d'urgence en cas de catastrophe (DREF) et des appels d'urgence (EA). Le soutien apporté aux victimes au lendemain d'une catastrophe comprend la distribution d’article ménagers, la planification de centre l'hébergement d'urgence, incluant selon les besoins l'assistance technique à la reconstruction à moyen et à long terme.</w:t>
      </w:r>
    </w:p>
    <w:p w:rsidR="0001433F" w:rsidRDefault="0001433F">
      <w:pPr>
        <w:pStyle w:val="Standard"/>
        <w:jc w:val="both"/>
        <w:rPr>
          <w:rFonts w:hint="eastAsia"/>
          <w:lang w:val="fr-FR"/>
        </w:rPr>
      </w:pPr>
    </w:p>
    <w:p w:rsidR="0001433F" w:rsidRDefault="00C0115D">
      <w:pPr>
        <w:pStyle w:val="Standard"/>
        <w:jc w:val="both"/>
        <w:rPr>
          <w:rFonts w:hint="eastAsia"/>
          <w:lang w:val="fr-FR"/>
        </w:rPr>
      </w:pPr>
      <w:r>
        <w:rPr>
          <w:lang w:val="fr-FR"/>
        </w:rPr>
        <w:t>En outre, dans le cadre de programmes de réduction des risques, les Sociétés Nationales participent également à des programmes d'hébergement durables, des projets de réduction des risques inhérents à l’habitat avec le soutien de Sociétés Nationales partenaires. Le domaine d'intervention des Abris et Établissements humains peut comprendre également la sécurité d'occupation et la durabilité environnementale.</w:t>
      </w:r>
    </w:p>
    <w:p w:rsidR="0001433F" w:rsidRDefault="0001433F">
      <w:pPr>
        <w:pStyle w:val="Standard"/>
        <w:jc w:val="both"/>
        <w:rPr>
          <w:rFonts w:eastAsia="Times New Roman"/>
          <w:color w:val="00000A"/>
          <w:lang w:val="fr-FR" w:eastAsia="en-GB"/>
        </w:rPr>
      </w:pPr>
    </w:p>
    <w:p w:rsidR="0001433F" w:rsidRPr="002F7227" w:rsidRDefault="00C0115D">
      <w:pPr>
        <w:pStyle w:val="Standard"/>
        <w:jc w:val="both"/>
        <w:rPr>
          <w:rFonts w:hint="eastAsia"/>
          <w:lang w:val="fr-LU"/>
        </w:rPr>
      </w:pPr>
      <w:r>
        <w:rPr>
          <w:lang w:val="fr-FR"/>
        </w:rPr>
        <w:t xml:space="preserve">Pour répondre à ce mandat, la FICR et la Croix Rouge Luxembourgeoise ont signé un accord de deux ans pour accroître l'aide des Sociétés Nationales de la Région Afrique dans le secteur du logement. L'objectif global de cette collaboration est de soutenir les 49 Sociétés nationales de la Région afin de </w:t>
      </w:r>
      <w:r>
        <w:rPr>
          <w:color w:val="00000A"/>
          <w:lang w:val="fr-FR"/>
        </w:rPr>
        <w:t>renforcer leur capacité dans la préparation et la réponse dans ce secteur technique</w:t>
      </w:r>
      <w:r>
        <w:rPr>
          <w:lang w:val="fr-FR"/>
        </w:rPr>
        <w:t>. Pour que les communautés soient mieux préparées, plus résilientes et qu'elles sont en meilleure position pour répondre à leurs besoins en matière d'habitat lorsqu'elles sont affectées par des catastrophes naturelles, des conflits ou des risques urbains.</w:t>
      </w:r>
    </w:p>
    <w:p w:rsidR="0001433F" w:rsidRDefault="0001433F">
      <w:pPr>
        <w:pStyle w:val="Standard"/>
        <w:spacing w:after="15"/>
        <w:jc w:val="both"/>
        <w:rPr>
          <w:rFonts w:hint="eastAsia"/>
          <w:lang w:val="fr-FR"/>
        </w:rPr>
      </w:pPr>
    </w:p>
    <w:p w:rsidR="0001433F" w:rsidRDefault="00C0115D">
      <w:pPr>
        <w:pStyle w:val="Standard"/>
        <w:spacing w:after="15"/>
        <w:jc w:val="both"/>
        <w:rPr>
          <w:rFonts w:hint="eastAsia"/>
          <w:lang w:val="fr-FR"/>
        </w:rPr>
      </w:pPr>
      <w:r>
        <w:rPr>
          <w:lang w:val="fr-FR"/>
        </w:rPr>
        <w:t>D’autre part, afin de répondre aux actions des Sociétés Nationales dans le secteur, la Croix Rouge Luxembourgeoise a soutenu la création et accueille le centre de recherche technique du logement ; le « </w:t>
      </w:r>
      <w:proofErr w:type="spellStart"/>
      <w:r>
        <w:rPr>
          <w:lang w:val="fr-FR"/>
        </w:rPr>
        <w:t>Shelter</w:t>
      </w:r>
      <w:proofErr w:type="spellEnd"/>
      <w:r>
        <w:rPr>
          <w:lang w:val="fr-FR"/>
        </w:rPr>
        <w:t xml:space="preserve"> </w:t>
      </w:r>
      <w:proofErr w:type="spellStart"/>
      <w:r>
        <w:rPr>
          <w:lang w:val="fr-FR"/>
        </w:rPr>
        <w:t>Research</w:t>
      </w:r>
      <w:proofErr w:type="spellEnd"/>
      <w:r>
        <w:rPr>
          <w:lang w:val="fr-FR"/>
        </w:rPr>
        <w:t xml:space="preserve"> Unit » (IFRC-SRU). Le IFRC-SRU a pour vocation de renforcer les compétences techniques des Sociétés Nationales sœurs dans le secteur du logement « Abris et Etablissements Humains ». Cet institut technique de recherche et de développement, assure notamment le soutien technique opérationnel et la mise en place de formations adaptées afin de renforcer les compétences techniques des Sociétés Nationales dans le secteur.</w:t>
      </w:r>
    </w:p>
    <w:p w:rsidR="0001433F" w:rsidRDefault="0001433F">
      <w:pPr>
        <w:pStyle w:val="Standard"/>
        <w:jc w:val="both"/>
        <w:rPr>
          <w:rFonts w:hint="eastAsia"/>
          <w:lang w:val="fr-FR"/>
        </w:rPr>
      </w:pPr>
    </w:p>
    <w:p w:rsidR="0001433F" w:rsidRDefault="00C0115D">
      <w:pPr>
        <w:pStyle w:val="Standard"/>
        <w:jc w:val="both"/>
        <w:rPr>
          <w:rFonts w:hint="eastAsia"/>
          <w:lang w:val="fr-FR"/>
        </w:rPr>
      </w:pPr>
      <w:r>
        <w:rPr>
          <w:lang w:val="fr-FR"/>
        </w:rPr>
        <w:t xml:space="preserve">Dans le cadre de ces accords, deux formations techniques ont été développées par l’IFRC-SRU et délivrées cette année. 11 </w:t>
      </w:r>
      <w:proofErr w:type="spellStart"/>
      <w:r>
        <w:rPr>
          <w:lang w:val="fr-FR"/>
        </w:rPr>
        <w:t>SNs</w:t>
      </w:r>
      <w:proofErr w:type="spellEnd"/>
      <w:r>
        <w:rPr>
          <w:lang w:val="fr-FR"/>
        </w:rPr>
        <w:t xml:space="preserve"> francophones et 12 </w:t>
      </w:r>
      <w:proofErr w:type="spellStart"/>
      <w:r>
        <w:rPr>
          <w:lang w:val="fr-FR"/>
        </w:rPr>
        <w:t>SNs</w:t>
      </w:r>
      <w:proofErr w:type="spellEnd"/>
      <w:r>
        <w:rPr>
          <w:lang w:val="fr-FR"/>
        </w:rPr>
        <w:t xml:space="preserve"> du continent Africain ont été ciblé.</w:t>
      </w:r>
    </w:p>
    <w:p w:rsidR="0001433F" w:rsidRPr="002F7227" w:rsidRDefault="0001433F">
      <w:pPr>
        <w:pStyle w:val="Standard"/>
        <w:rPr>
          <w:rFonts w:ascii="HelveticaNeueLTStd-Hv" w:hAnsi="HelveticaNeueLTStd-Hv" w:hint="eastAsia"/>
          <w:color w:val="693228"/>
          <w:sz w:val="44"/>
          <w:szCs w:val="44"/>
          <w:lang w:val="fr-FR"/>
        </w:rPr>
      </w:pPr>
    </w:p>
    <w:p w:rsidR="0001433F" w:rsidRDefault="0001433F">
      <w:pPr>
        <w:pStyle w:val="Standard"/>
        <w:rPr>
          <w:rFonts w:ascii="HelveticaNeueLTStd-Hv" w:hAnsi="HelveticaNeueLTStd-Hv" w:hint="eastAsia"/>
          <w:color w:val="693228"/>
          <w:sz w:val="44"/>
          <w:szCs w:val="44"/>
          <w:lang w:val="fr-CH"/>
        </w:rPr>
      </w:pPr>
    </w:p>
    <w:p w:rsidR="0001433F" w:rsidRDefault="00C0115D">
      <w:pPr>
        <w:pStyle w:val="Standard"/>
        <w:rPr>
          <w:rFonts w:ascii="HelveticaNeueLTStd-Hv" w:hAnsi="HelveticaNeueLTStd-Hv" w:hint="eastAsia"/>
          <w:color w:val="693228"/>
          <w:sz w:val="44"/>
          <w:szCs w:val="44"/>
          <w:lang w:val="fr-CH"/>
        </w:rPr>
      </w:pPr>
      <w:r>
        <w:rPr>
          <w:rFonts w:ascii="HelveticaNeueLTStd-Hv" w:hAnsi="HelveticaNeueLTStd-Hv"/>
          <w:color w:val="693228"/>
          <w:sz w:val="44"/>
          <w:szCs w:val="44"/>
          <w:lang w:val="fr-CH"/>
        </w:rPr>
        <w:t>2. Objectif général des formations</w:t>
      </w:r>
    </w:p>
    <w:p w:rsidR="0001433F" w:rsidRPr="002F7227" w:rsidRDefault="00C0115D">
      <w:pPr>
        <w:pStyle w:val="Standard"/>
        <w:spacing w:after="15"/>
        <w:jc w:val="both"/>
        <w:rPr>
          <w:rFonts w:hint="eastAsia"/>
          <w:lang w:val="fr-LU"/>
        </w:rPr>
      </w:pPr>
      <w:r>
        <w:rPr>
          <w:color w:val="00000A"/>
          <w:lang w:val="fr-FR"/>
        </w:rPr>
        <w:t>Les formations en matière d'abris et d’établissements humains dirigés par le SRU qui se sont déroulées au Sénégal et au Kenya sont l’une des composantes de ce</w:t>
      </w:r>
      <w:r>
        <w:rPr>
          <w:lang w:val="fr-FR"/>
        </w:rPr>
        <w:t xml:space="preserve"> soutien technique opérationnel des</w:t>
      </w:r>
      <w:r>
        <w:rPr>
          <w:color w:val="00000A"/>
          <w:lang w:val="fr-FR"/>
        </w:rPr>
        <w:t xml:space="preserve"> Sociétés Nationales ciblant les Sociétés Nationales Africaines francophones et ensuite anglophones de la Région.</w:t>
      </w:r>
    </w:p>
    <w:p w:rsidR="0001433F" w:rsidRDefault="0001433F">
      <w:pPr>
        <w:pStyle w:val="Standard"/>
        <w:jc w:val="both"/>
        <w:rPr>
          <w:rFonts w:hint="eastAsia"/>
          <w:lang w:val="fr-FR"/>
        </w:rPr>
      </w:pPr>
    </w:p>
    <w:p w:rsidR="0001433F" w:rsidRPr="002F7227" w:rsidRDefault="00C0115D">
      <w:pPr>
        <w:pStyle w:val="Standard"/>
        <w:jc w:val="both"/>
        <w:rPr>
          <w:rFonts w:hint="eastAsia"/>
          <w:lang w:val="fr-LU"/>
        </w:rPr>
      </w:pPr>
      <w:r>
        <w:rPr>
          <w:lang w:val="fr-FR"/>
        </w:rPr>
        <w:lastRenderedPageBreak/>
        <w:t>L'objectif de ces formations est de soutenir les 23 Sociétés Nationales invitées afin de s'assurer qu’elles soient mieux préparées, qu'elles disposent d’un personnel formé pour répondre aux besoins dans la réponse et en préparation aux désastres en matière de logement et d'habitat.</w:t>
      </w:r>
    </w:p>
    <w:p w:rsidR="0001433F" w:rsidRDefault="0001433F">
      <w:pPr>
        <w:pStyle w:val="Standard"/>
        <w:jc w:val="both"/>
        <w:rPr>
          <w:rFonts w:hint="eastAsia"/>
          <w:color w:val="00000A"/>
          <w:lang w:val="fr-FR"/>
        </w:rPr>
      </w:pPr>
    </w:p>
    <w:p w:rsidR="0001433F" w:rsidRPr="002F7227" w:rsidRDefault="00C0115D">
      <w:pPr>
        <w:pStyle w:val="Standard"/>
        <w:jc w:val="both"/>
        <w:rPr>
          <w:rFonts w:hint="eastAsia"/>
          <w:lang w:val="fr-LU"/>
        </w:rPr>
      </w:pPr>
      <w:r>
        <w:rPr>
          <w:u w:val="single"/>
          <w:lang w:val="fr-FR"/>
        </w:rPr>
        <w:t xml:space="preserve">Représentatifs des Croix Rouge invitées lors de la formation du Sénégal du </w:t>
      </w:r>
      <w:r>
        <w:rPr>
          <w:color w:val="00000A"/>
          <w:u w:val="single"/>
          <w:lang w:val="fr-FR"/>
        </w:rPr>
        <w:t>1</w:t>
      </w:r>
      <w:r>
        <w:rPr>
          <w:color w:val="00000A"/>
          <w:u w:val="single"/>
          <w:vertAlign w:val="superscript"/>
          <w:lang w:val="fr-FR"/>
        </w:rPr>
        <w:t>er</w:t>
      </w:r>
      <w:r>
        <w:rPr>
          <w:color w:val="00000A"/>
          <w:u w:val="single"/>
          <w:lang w:val="fr-FR"/>
        </w:rPr>
        <w:t xml:space="preserve"> au 06 Septembre 2019 :</w:t>
      </w:r>
    </w:p>
    <w:p w:rsidR="0001433F" w:rsidRDefault="00C0115D">
      <w:pPr>
        <w:pStyle w:val="Standard"/>
        <w:numPr>
          <w:ilvl w:val="0"/>
          <w:numId w:val="7"/>
        </w:numPr>
        <w:jc w:val="both"/>
        <w:rPr>
          <w:rFonts w:hint="eastAsia"/>
          <w:lang w:val="fr-FR"/>
        </w:rPr>
      </w:pPr>
      <w:r>
        <w:rPr>
          <w:lang w:val="fr-FR"/>
        </w:rPr>
        <w:t>Croix Rouge Sénégalaise</w:t>
      </w:r>
    </w:p>
    <w:p w:rsidR="0001433F" w:rsidRDefault="00C0115D">
      <w:pPr>
        <w:pStyle w:val="Standard"/>
        <w:numPr>
          <w:ilvl w:val="0"/>
          <w:numId w:val="2"/>
        </w:numPr>
        <w:jc w:val="both"/>
        <w:rPr>
          <w:rFonts w:hint="eastAsia"/>
          <w:lang w:val="fr-FR"/>
        </w:rPr>
      </w:pPr>
      <w:r>
        <w:rPr>
          <w:lang w:val="fr-FR"/>
        </w:rPr>
        <w:t>Croix Rouge des Comores</w:t>
      </w:r>
    </w:p>
    <w:p w:rsidR="0001433F" w:rsidRDefault="00C0115D">
      <w:pPr>
        <w:pStyle w:val="Standard"/>
        <w:numPr>
          <w:ilvl w:val="0"/>
          <w:numId w:val="2"/>
        </w:numPr>
        <w:jc w:val="both"/>
        <w:rPr>
          <w:rFonts w:hint="eastAsia"/>
          <w:lang w:val="fr-FR"/>
        </w:rPr>
      </w:pPr>
      <w:r>
        <w:rPr>
          <w:lang w:val="fr-FR"/>
        </w:rPr>
        <w:t>Croix Rouge du Congo</w:t>
      </w:r>
    </w:p>
    <w:p w:rsidR="0001433F" w:rsidRDefault="00C0115D">
      <w:pPr>
        <w:pStyle w:val="Standard"/>
        <w:numPr>
          <w:ilvl w:val="0"/>
          <w:numId w:val="2"/>
        </w:numPr>
        <w:jc w:val="both"/>
        <w:rPr>
          <w:rFonts w:hint="eastAsia"/>
          <w:lang w:val="fr-FR"/>
        </w:rPr>
      </w:pPr>
      <w:r>
        <w:rPr>
          <w:lang w:val="fr-FR"/>
        </w:rPr>
        <w:t>Croix Rouge de Côte d’Ivoire</w:t>
      </w:r>
    </w:p>
    <w:p w:rsidR="0001433F" w:rsidRDefault="00C0115D">
      <w:pPr>
        <w:pStyle w:val="Standard"/>
        <w:numPr>
          <w:ilvl w:val="0"/>
          <w:numId w:val="2"/>
        </w:numPr>
        <w:jc w:val="both"/>
        <w:rPr>
          <w:rFonts w:hint="eastAsia"/>
          <w:lang w:val="fr-FR"/>
        </w:rPr>
      </w:pPr>
      <w:r>
        <w:rPr>
          <w:lang w:val="fr-FR"/>
        </w:rPr>
        <w:t>Croix Rouge du Tchad</w:t>
      </w:r>
    </w:p>
    <w:p w:rsidR="0001433F" w:rsidRDefault="00C0115D">
      <w:pPr>
        <w:pStyle w:val="Standard"/>
        <w:numPr>
          <w:ilvl w:val="0"/>
          <w:numId w:val="2"/>
        </w:numPr>
        <w:jc w:val="both"/>
        <w:rPr>
          <w:rFonts w:hint="eastAsia"/>
          <w:lang w:val="fr-FR"/>
        </w:rPr>
      </w:pPr>
      <w:r>
        <w:rPr>
          <w:lang w:val="fr-FR"/>
        </w:rPr>
        <w:t>Croix Rouge de Centre Afrique</w:t>
      </w:r>
    </w:p>
    <w:p w:rsidR="0001433F" w:rsidRDefault="00C0115D">
      <w:pPr>
        <w:pStyle w:val="Standard"/>
        <w:numPr>
          <w:ilvl w:val="0"/>
          <w:numId w:val="2"/>
        </w:numPr>
        <w:jc w:val="both"/>
        <w:rPr>
          <w:rFonts w:hint="eastAsia"/>
          <w:lang w:val="fr-FR"/>
        </w:rPr>
      </w:pPr>
      <w:r>
        <w:rPr>
          <w:lang w:val="fr-FR"/>
        </w:rPr>
        <w:t>Croix Rouge du Cameroun</w:t>
      </w:r>
    </w:p>
    <w:p w:rsidR="0001433F" w:rsidRDefault="00C0115D">
      <w:pPr>
        <w:pStyle w:val="Standard"/>
        <w:numPr>
          <w:ilvl w:val="0"/>
          <w:numId w:val="2"/>
        </w:numPr>
        <w:jc w:val="both"/>
        <w:rPr>
          <w:rFonts w:hint="eastAsia"/>
          <w:lang w:val="fr-FR"/>
        </w:rPr>
      </w:pPr>
      <w:r>
        <w:rPr>
          <w:lang w:val="fr-FR"/>
        </w:rPr>
        <w:t>Croix Rouge du Niger</w:t>
      </w:r>
    </w:p>
    <w:p w:rsidR="0001433F" w:rsidRDefault="00C0115D">
      <w:pPr>
        <w:pStyle w:val="Standard"/>
        <w:numPr>
          <w:ilvl w:val="0"/>
          <w:numId w:val="2"/>
        </w:numPr>
        <w:jc w:val="both"/>
        <w:rPr>
          <w:rFonts w:hint="eastAsia"/>
          <w:lang w:val="fr-FR"/>
        </w:rPr>
      </w:pPr>
      <w:r>
        <w:rPr>
          <w:lang w:val="fr-FR"/>
        </w:rPr>
        <w:t>Croix Rouge de Djibouti</w:t>
      </w:r>
    </w:p>
    <w:p w:rsidR="0001433F" w:rsidRDefault="00C0115D">
      <w:pPr>
        <w:pStyle w:val="Standard"/>
        <w:numPr>
          <w:ilvl w:val="0"/>
          <w:numId w:val="2"/>
        </w:numPr>
        <w:jc w:val="both"/>
        <w:rPr>
          <w:rFonts w:hint="eastAsia"/>
          <w:lang w:val="fr-FR"/>
        </w:rPr>
      </w:pPr>
      <w:r>
        <w:rPr>
          <w:lang w:val="fr-FR"/>
        </w:rPr>
        <w:t>Croix Rouge de RDC</w:t>
      </w:r>
    </w:p>
    <w:p w:rsidR="0001433F" w:rsidRDefault="00C0115D">
      <w:pPr>
        <w:pStyle w:val="Standard"/>
        <w:numPr>
          <w:ilvl w:val="0"/>
          <w:numId w:val="2"/>
        </w:numPr>
        <w:jc w:val="both"/>
        <w:rPr>
          <w:rFonts w:hint="eastAsia"/>
          <w:lang w:val="fr-FR"/>
        </w:rPr>
      </w:pPr>
      <w:r>
        <w:rPr>
          <w:lang w:val="fr-FR"/>
        </w:rPr>
        <w:t>Croix Rouge du Cap Vert</w:t>
      </w:r>
    </w:p>
    <w:p w:rsidR="0001433F" w:rsidRDefault="0001433F">
      <w:pPr>
        <w:pStyle w:val="Standard"/>
        <w:jc w:val="both"/>
        <w:rPr>
          <w:rFonts w:hint="eastAsia"/>
          <w:lang w:val="fr-FR"/>
        </w:rPr>
      </w:pPr>
    </w:p>
    <w:p w:rsidR="0001433F" w:rsidRPr="002F7227" w:rsidRDefault="00C0115D">
      <w:pPr>
        <w:pStyle w:val="Standard"/>
        <w:jc w:val="both"/>
        <w:rPr>
          <w:rFonts w:hint="eastAsia"/>
          <w:lang w:val="fr-LU"/>
        </w:rPr>
      </w:pPr>
      <w:r>
        <w:rPr>
          <w:u w:val="single"/>
          <w:lang w:val="fr-FR"/>
        </w:rPr>
        <w:t xml:space="preserve">Représentatifs des Croix Rouge invitées lors de la formation au Kenya du </w:t>
      </w:r>
      <w:r>
        <w:rPr>
          <w:color w:val="00000A"/>
          <w:u w:val="single"/>
          <w:lang w:val="fr-FR"/>
        </w:rPr>
        <w:t>29 Octobre au 06 Novembre 2019 :</w:t>
      </w:r>
    </w:p>
    <w:p w:rsidR="0001433F" w:rsidRDefault="00C0115D">
      <w:pPr>
        <w:pStyle w:val="Standard"/>
        <w:numPr>
          <w:ilvl w:val="0"/>
          <w:numId w:val="2"/>
        </w:numPr>
        <w:jc w:val="both"/>
        <w:rPr>
          <w:rFonts w:hint="eastAsia"/>
          <w:lang w:val="fr-FR"/>
        </w:rPr>
      </w:pPr>
      <w:r>
        <w:rPr>
          <w:lang w:val="fr-FR"/>
        </w:rPr>
        <w:t>Croix Rouge du Kenya</w:t>
      </w:r>
    </w:p>
    <w:p w:rsidR="0001433F" w:rsidRDefault="00C0115D">
      <w:pPr>
        <w:pStyle w:val="Standard"/>
        <w:numPr>
          <w:ilvl w:val="0"/>
          <w:numId w:val="2"/>
        </w:numPr>
        <w:jc w:val="both"/>
        <w:rPr>
          <w:rFonts w:hint="eastAsia"/>
          <w:lang w:val="fr-FR"/>
        </w:rPr>
      </w:pPr>
      <w:r>
        <w:rPr>
          <w:lang w:val="fr-FR"/>
        </w:rPr>
        <w:t>Croix Rouge d’Uganda</w:t>
      </w:r>
    </w:p>
    <w:p w:rsidR="0001433F" w:rsidRDefault="00C0115D">
      <w:pPr>
        <w:pStyle w:val="Standard"/>
        <w:numPr>
          <w:ilvl w:val="0"/>
          <w:numId w:val="2"/>
        </w:numPr>
        <w:jc w:val="both"/>
        <w:rPr>
          <w:rFonts w:hint="eastAsia"/>
          <w:lang w:val="fr-FR"/>
        </w:rPr>
      </w:pPr>
      <w:r>
        <w:rPr>
          <w:lang w:val="fr-FR"/>
        </w:rPr>
        <w:t>Croix Rouge d’Ethiopie</w:t>
      </w:r>
    </w:p>
    <w:p w:rsidR="0001433F" w:rsidRDefault="00C0115D">
      <w:pPr>
        <w:pStyle w:val="Standard"/>
        <w:numPr>
          <w:ilvl w:val="0"/>
          <w:numId w:val="2"/>
        </w:numPr>
        <w:jc w:val="both"/>
        <w:rPr>
          <w:rFonts w:hint="eastAsia"/>
          <w:lang w:val="fr-FR"/>
        </w:rPr>
      </w:pPr>
      <w:r>
        <w:rPr>
          <w:lang w:val="fr-FR"/>
        </w:rPr>
        <w:t>Croix Rouge du Soudan du Sud</w:t>
      </w:r>
    </w:p>
    <w:p w:rsidR="0001433F" w:rsidRDefault="00C0115D">
      <w:pPr>
        <w:pStyle w:val="Standard"/>
        <w:numPr>
          <w:ilvl w:val="0"/>
          <w:numId w:val="2"/>
        </w:numPr>
        <w:jc w:val="both"/>
        <w:rPr>
          <w:rFonts w:hint="eastAsia"/>
          <w:lang w:val="fr-FR"/>
        </w:rPr>
      </w:pPr>
      <w:r>
        <w:rPr>
          <w:lang w:val="fr-FR"/>
        </w:rPr>
        <w:t>Croix Rouge du Sierra Leone</w:t>
      </w:r>
    </w:p>
    <w:p w:rsidR="0001433F" w:rsidRDefault="00C0115D">
      <w:pPr>
        <w:pStyle w:val="Standard"/>
        <w:numPr>
          <w:ilvl w:val="0"/>
          <w:numId w:val="2"/>
        </w:numPr>
        <w:jc w:val="both"/>
        <w:rPr>
          <w:rFonts w:hint="eastAsia"/>
          <w:lang w:val="fr-FR"/>
        </w:rPr>
      </w:pPr>
      <w:r>
        <w:rPr>
          <w:lang w:val="fr-FR"/>
        </w:rPr>
        <w:t>Croix Rouge du Nigéria</w:t>
      </w:r>
    </w:p>
    <w:p w:rsidR="0001433F" w:rsidRDefault="00C0115D">
      <w:pPr>
        <w:pStyle w:val="Standard"/>
        <w:numPr>
          <w:ilvl w:val="0"/>
          <w:numId w:val="2"/>
        </w:numPr>
        <w:jc w:val="both"/>
        <w:rPr>
          <w:rFonts w:hint="eastAsia"/>
          <w:lang w:val="fr-FR"/>
        </w:rPr>
      </w:pPr>
      <w:r>
        <w:rPr>
          <w:lang w:val="fr-FR"/>
        </w:rPr>
        <w:t>Croix Rouge du Libéria</w:t>
      </w:r>
    </w:p>
    <w:p w:rsidR="0001433F" w:rsidRDefault="00C0115D">
      <w:pPr>
        <w:pStyle w:val="Standard"/>
        <w:numPr>
          <w:ilvl w:val="0"/>
          <w:numId w:val="2"/>
        </w:numPr>
        <w:jc w:val="both"/>
        <w:rPr>
          <w:rFonts w:hint="eastAsia"/>
          <w:lang w:val="fr-FR"/>
        </w:rPr>
      </w:pPr>
      <w:r>
        <w:rPr>
          <w:lang w:val="fr-FR"/>
        </w:rPr>
        <w:t>Croix Rouge du Soudan</w:t>
      </w:r>
    </w:p>
    <w:p w:rsidR="0001433F" w:rsidRDefault="00C0115D">
      <w:pPr>
        <w:pStyle w:val="Standard"/>
        <w:numPr>
          <w:ilvl w:val="0"/>
          <w:numId w:val="2"/>
        </w:numPr>
        <w:jc w:val="both"/>
        <w:rPr>
          <w:rFonts w:hint="eastAsia"/>
          <w:lang w:val="fr-FR"/>
        </w:rPr>
      </w:pPr>
      <w:r>
        <w:rPr>
          <w:lang w:val="fr-FR"/>
        </w:rPr>
        <w:t>Croix Rouge du Malawi</w:t>
      </w:r>
    </w:p>
    <w:p w:rsidR="0001433F" w:rsidRDefault="00C0115D">
      <w:pPr>
        <w:pStyle w:val="Standard"/>
        <w:numPr>
          <w:ilvl w:val="0"/>
          <w:numId w:val="2"/>
        </w:numPr>
        <w:jc w:val="both"/>
        <w:rPr>
          <w:rFonts w:hint="eastAsia"/>
          <w:lang w:val="fr-FR"/>
        </w:rPr>
      </w:pPr>
      <w:r>
        <w:rPr>
          <w:lang w:val="fr-FR"/>
        </w:rPr>
        <w:t>Croix Rouge du Zimbabwe</w:t>
      </w:r>
    </w:p>
    <w:p w:rsidR="0001433F" w:rsidRDefault="00C0115D">
      <w:pPr>
        <w:pStyle w:val="Standard"/>
        <w:numPr>
          <w:ilvl w:val="0"/>
          <w:numId w:val="2"/>
        </w:numPr>
        <w:jc w:val="both"/>
        <w:rPr>
          <w:rFonts w:hint="eastAsia"/>
          <w:lang w:val="fr-FR"/>
        </w:rPr>
      </w:pPr>
      <w:r>
        <w:rPr>
          <w:lang w:val="fr-FR"/>
        </w:rPr>
        <w:t>Croix Rouge de Gambie</w:t>
      </w:r>
    </w:p>
    <w:p w:rsidR="0001433F" w:rsidRDefault="00C0115D">
      <w:pPr>
        <w:pStyle w:val="Standard"/>
        <w:numPr>
          <w:ilvl w:val="0"/>
          <w:numId w:val="2"/>
        </w:numPr>
        <w:jc w:val="both"/>
        <w:rPr>
          <w:rFonts w:hint="eastAsia"/>
          <w:lang w:val="fr-FR"/>
        </w:rPr>
      </w:pPr>
      <w:r>
        <w:rPr>
          <w:lang w:val="fr-FR"/>
        </w:rPr>
        <w:t>Croix Rouge du Somali Land</w:t>
      </w:r>
    </w:p>
    <w:p w:rsidR="0001433F" w:rsidRDefault="0001433F">
      <w:pPr>
        <w:pStyle w:val="Standard"/>
        <w:jc w:val="both"/>
        <w:rPr>
          <w:rFonts w:hint="eastAsia"/>
          <w:lang w:val="fr-FR"/>
        </w:rPr>
      </w:pPr>
    </w:p>
    <w:p w:rsidR="0001433F" w:rsidRDefault="0001433F">
      <w:pPr>
        <w:pStyle w:val="Standard"/>
        <w:rPr>
          <w:rFonts w:hint="eastAsia"/>
        </w:rPr>
      </w:pPr>
    </w:p>
    <w:p w:rsidR="0001433F" w:rsidRDefault="00C0115D">
      <w:pPr>
        <w:pStyle w:val="Standard"/>
        <w:rPr>
          <w:rFonts w:ascii="HelveticaNeueLTStd-Hv" w:hAnsi="HelveticaNeueLTStd-Hv" w:hint="eastAsia"/>
          <w:color w:val="693228"/>
          <w:sz w:val="44"/>
          <w:szCs w:val="44"/>
          <w:lang w:val="fr-CH"/>
        </w:rPr>
      </w:pPr>
      <w:r>
        <w:rPr>
          <w:rFonts w:ascii="HelveticaNeueLTStd-Hv" w:hAnsi="HelveticaNeueLTStd-Hv"/>
          <w:color w:val="693228"/>
          <w:sz w:val="44"/>
          <w:szCs w:val="44"/>
          <w:lang w:val="fr-CH"/>
        </w:rPr>
        <w:t>3. Objectifs détaillés des formations</w:t>
      </w:r>
    </w:p>
    <w:p w:rsidR="0001433F" w:rsidRDefault="00C0115D">
      <w:pPr>
        <w:pStyle w:val="Standard"/>
        <w:jc w:val="both"/>
        <w:rPr>
          <w:rFonts w:hint="eastAsia"/>
          <w:color w:val="00000A"/>
          <w:lang w:val="fr-FR"/>
        </w:rPr>
      </w:pPr>
      <w:r>
        <w:rPr>
          <w:color w:val="00000A"/>
          <w:lang w:val="fr-FR"/>
        </w:rPr>
        <w:t>Les formations visent à accroître la capacité d'intervention des Sociétés Nationales en matière d'abris et d'établissements humains en augmentant le nombre de personnel possédant des compétences techniques dans le secteur, pour pouvoir concevoir et répondre efficacement aux besoins dans la Région.</w:t>
      </w:r>
    </w:p>
    <w:p w:rsidR="0001433F" w:rsidRDefault="0001433F">
      <w:pPr>
        <w:pStyle w:val="Standard"/>
        <w:jc w:val="both"/>
        <w:rPr>
          <w:rFonts w:hint="eastAsia"/>
          <w:color w:val="00000A"/>
          <w:lang w:val="fr-FR"/>
        </w:rPr>
      </w:pPr>
    </w:p>
    <w:p w:rsidR="0001433F" w:rsidRDefault="00C0115D">
      <w:pPr>
        <w:pStyle w:val="Standard"/>
        <w:jc w:val="both"/>
        <w:rPr>
          <w:rFonts w:hint="eastAsia"/>
          <w:color w:val="00000A"/>
          <w:lang w:val="fr-FR"/>
        </w:rPr>
      </w:pPr>
      <w:r>
        <w:rPr>
          <w:color w:val="00000A"/>
          <w:lang w:val="fr-FR"/>
        </w:rPr>
        <w:t>Le processus d'apprentissage tout au long de ces formations contribue à l'objectif global d'accroître la quantité et la qualité globales des interventions dans le secteur de l’hébergement en Afrique en augmentant la capacité des Sociétés Nationales à concevoir et à mettre en œuvre des programmes d'abris et d'établissements humains dans des contextes d'urgence et de relèvement.</w:t>
      </w:r>
    </w:p>
    <w:p w:rsidR="0001433F" w:rsidRDefault="0001433F">
      <w:pPr>
        <w:pStyle w:val="Standard"/>
        <w:jc w:val="both"/>
        <w:rPr>
          <w:rFonts w:hint="eastAsia"/>
          <w:color w:val="00000A"/>
          <w:lang w:val="fr-FR"/>
        </w:rPr>
      </w:pPr>
    </w:p>
    <w:p w:rsidR="0001433F" w:rsidRDefault="00C0115D">
      <w:pPr>
        <w:pStyle w:val="Standard"/>
        <w:jc w:val="both"/>
        <w:rPr>
          <w:rFonts w:hint="eastAsia"/>
          <w:color w:val="00000A"/>
          <w:lang w:val="fr-FR"/>
        </w:rPr>
      </w:pPr>
      <w:r>
        <w:rPr>
          <w:color w:val="00000A"/>
          <w:lang w:val="fr-FR"/>
        </w:rPr>
        <w:t>L'apprentissage est axé sur l'amélioration de la compréhension par les participants des options d'assistance en matière d'abris et établissements humains, la sensibilisation aux normes et outils de la FICR et à une meilleure connaissance des cadres réglementaires dans le secteur des abris, ainsi que sur la façon d'appliquer cet apprentissage au contexte et aux spécificités Régionales.</w:t>
      </w:r>
    </w:p>
    <w:p w:rsidR="0001433F" w:rsidRDefault="0001433F">
      <w:pPr>
        <w:pStyle w:val="Standard"/>
        <w:spacing w:after="15"/>
        <w:jc w:val="both"/>
        <w:rPr>
          <w:rFonts w:hint="eastAsia"/>
          <w:color w:val="00000A"/>
          <w:lang w:val="fr-FR"/>
        </w:rPr>
      </w:pPr>
    </w:p>
    <w:p w:rsidR="0001433F" w:rsidRDefault="00C0115D">
      <w:pPr>
        <w:pStyle w:val="Standard"/>
        <w:jc w:val="both"/>
        <w:rPr>
          <w:rFonts w:hint="eastAsia"/>
          <w:color w:val="00000A"/>
          <w:lang w:val="fr-FR"/>
        </w:rPr>
      </w:pPr>
      <w:r>
        <w:rPr>
          <w:color w:val="00000A"/>
          <w:lang w:val="fr-FR"/>
        </w:rPr>
        <w:lastRenderedPageBreak/>
        <w:t>Suite aux formations, les participants seront en mesure d'acquérir les connaissances nécessaires sur le secteur des abris et établissements humains, afin de pouvoir prendre des décisions rapides et éclairées pour concevoir et mettre en œuvre une gamme d'options d’intervention dans le secteur, tant dans les situations d'urgence que pour les programmes de relèvement et de résilience.</w:t>
      </w:r>
    </w:p>
    <w:p w:rsidR="0001433F" w:rsidRDefault="0001433F">
      <w:pPr>
        <w:pStyle w:val="Standard"/>
        <w:jc w:val="both"/>
        <w:rPr>
          <w:rFonts w:hint="eastAsia"/>
          <w:color w:val="00000A"/>
          <w:lang w:val="fr-FR"/>
        </w:rPr>
      </w:pPr>
    </w:p>
    <w:p w:rsidR="0001433F" w:rsidRPr="002F7227" w:rsidRDefault="0001433F">
      <w:pPr>
        <w:pStyle w:val="Standard"/>
        <w:rPr>
          <w:rFonts w:hint="eastAsia"/>
          <w:lang w:val="fr-LU"/>
        </w:rPr>
      </w:pPr>
    </w:p>
    <w:p w:rsidR="0001433F" w:rsidRPr="002F7227" w:rsidRDefault="00C0115D">
      <w:pPr>
        <w:pStyle w:val="Standard"/>
        <w:rPr>
          <w:rFonts w:ascii="HelveticaNeueLTStd-Hv" w:hAnsi="HelveticaNeueLTStd-Hv" w:hint="eastAsia"/>
          <w:color w:val="693228"/>
          <w:sz w:val="44"/>
          <w:szCs w:val="44"/>
          <w:lang w:val="fr-LU"/>
        </w:rPr>
      </w:pPr>
      <w:r w:rsidRPr="002F7227">
        <w:rPr>
          <w:rFonts w:ascii="HelveticaNeueLTStd-Hv" w:hAnsi="HelveticaNeueLTStd-Hv"/>
          <w:color w:val="693228"/>
          <w:sz w:val="44"/>
          <w:szCs w:val="44"/>
          <w:lang w:val="fr-LU"/>
        </w:rPr>
        <w:t>4. Sélection des participants</w:t>
      </w:r>
    </w:p>
    <w:p w:rsidR="0001433F" w:rsidRPr="002F7227" w:rsidRDefault="00C0115D">
      <w:pPr>
        <w:pStyle w:val="Standard"/>
        <w:spacing w:after="15"/>
        <w:jc w:val="both"/>
        <w:rPr>
          <w:rFonts w:hint="eastAsia"/>
          <w:lang w:val="fr-LU"/>
        </w:rPr>
      </w:pPr>
      <w:r>
        <w:rPr>
          <w:color w:val="00000A"/>
          <w:lang w:val="fr-FR"/>
        </w:rPr>
        <w:t>Cette formation a ciblé le personnel technique et des volontaires qui interviennent lors d'événements liés aux abris et au soutien à la conception de programmes de logement. Deux points focaux abris / logement et établissements humains de chaque Société nationale ciblée, ayant une expérience antérieure pertinente dans le domaine ont été sélectionné. Des représentants venant de 23 Sociétés Nationales ont bénéficiées de cette formation, soit 11 Sociétés Nationales francophones et 12 Sociétés Nationales Anglophones.</w:t>
      </w:r>
    </w:p>
    <w:p w:rsidR="0001433F" w:rsidRDefault="0001433F">
      <w:pPr>
        <w:pStyle w:val="Standard"/>
        <w:spacing w:after="15"/>
        <w:jc w:val="both"/>
        <w:rPr>
          <w:rFonts w:hint="eastAsia"/>
          <w:color w:val="00000A"/>
          <w:lang w:val="fr-FR"/>
        </w:rPr>
      </w:pPr>
    </w:p>
    <w:p w:rsidR="0001433F" w:rsidRDefault="00C0115D">
      <w:pPr>
        <w:pStyle w:val="Standard"/>
        <w:spacing w:after="15"/>
        <w:jc w:val="both"/>
        <w:rPr>
          <w:rFonts w:hint="eastAsia"/>
          <w:color w:val="00000A"/>
          <w:lang w:val="fr-FR"/>
        </w:rPr>
      </w:pPr>
      <w:r>
        <w:rPr>
          <w:color w:val="00000A"/>
          <w:lang w:val="fr-FR"/>
        </w:rPr>
        <w:t>L’évaluation a consisté à identifier parmi les participants des personnes ressources susceptibles de renforcer leur Société Nationale dans la réponse et des personnes pouvant potentiellement être déplorables en soutien des Sociétés Nationales au niveau Régional.</w:t>
      </w:r>
    </w:p>
    <w:p w:rsidR="0001433F" w:rsidRDefault="0001433F">
      <w:pPr>
        <w:pStyle w:val="Standard"/>
        <w:rPr>
          <w:rFonts w:ascii="HelveticaNeueLTStd-Hv" w:hAnsi="HelveticaNeueLTStd-Hv" w:hint="eastAsia"/>
          <w:color w:val="693228"/>
          <w:sz w:val="44"/>
          <w:szCs w:val="44"/>
          <w:lang w:val="fr-FR"/>
        </w:rPr>
      </w:pPr>
    </w:p>
    <w:p w:rsidR="0001433F" w:rsidRDefault="0001433F">
      <w:pPr>
        <w:pStyle w:val="Standard"/>
        <w:jc w:val="both"/>
        <w:rPr>
          <w:rFonts w:ascii="CaeciliaLTStd-Light" w:hAnsi="CaeciliaLTStd-Light" w:cs="CaeciliaLTStd-Light" w:hint="eastAsia"/>
          <w:sz w:val="19"/>
          <w:szCs w:val="19"/>
          <w:lang w:val="fr-CH"/>
        </w:rPr>
      </w:pPr>
    </w:p>
    <w:p w:rsidR="0001433F" w:rsidRDefault="00C0115D">
      <w:pPr>
        <w:pStyle w:val="Standard"/>
        <w:rPr>
          <w:rFonts w:ascii="HelveticaNeueLTStd-Hv" w:hAnsi="HelveticaNeueLTStd-Hv" w:hint="eastAsia"/>
          <w:color w:val="693228"/>
          <w:sz w:val="44"/>
          <w:szCs w:val="44"/>
          <w:lang w:val="fr-CH"/>
        </w:rPr>
      </w:pPr>
      <w:r>
        <w:rPr>
          <w:rFonts w:ascii="HelveticaNeueLTStd-Hv" w:hAnsi="HelveticaNeueLTStd-Hv"/>
          <w:color w:val="693228"/>
          <w:sz w:val="44"/>
          <w:szCs w:val="44"/>
          <w:lang w:val="fr-CH"/>
        </w:rPr>
        <w:t>5. Animation des formations</w:t>
      </w:r>
    </w:p>
    <w:p w:rsidR="0001433F" w:rsidRDefault="0001433F">
      <w:pPr>
        <w:pStyle w:val="Standard"/>
        <w:jc w:val="both"/>
        <w:rPr>
          <w:rFonts w:ascii="CaeciliaLTStd-Light" w:hAnsi="CaeciliaLTStd-Light" w:cs="CaeciliaLTStd-Light" w:hint="eastAsia"/>
          <w:sz w:val="19"/>
          <w:szCs w:val="19"/>
          <w:lang w:val="fr-CH"/>
        </w:rPr>
      </w:pPr>
    </w:p>
    <w:p w:rsidR="0001433F" w:rsidRDefault="00C0115D">
      <w:pPr>
        <w:pStyle w:val="Standard"/>
        <w:jc w:val="both"/>
        <w:rPr>
          <w:rFonts w:hint="eastAsia"/>
          <w:color w:val="00000A"/>
          <w:lang w:val="fr-FR"/>
        </w:rPr>
      </w:pPr>
      <w:r>
        <w:rPr>
          <w:color w:val="00000A"/>
          <w:lang w:val="fr-FR"/>
        </w:rPr>
        <w:t>La formation a été dirigée par l'Unité de recherche sur les abris (IFRC-SRU) de la FICR et soutenue par l'équipe abris et établissements humains de la FICR de la Région Afrique ainsi que la Croix Rouge Luxembourgeoise.</w:t>
      </w:r>
    </w:p>
    <w:p w:rsidR="0001433F" w:rsidRDefault="00C0115D">
      <w:pPr>
        <w:pStyle w:val="Standard"/>
        <w:tabs>
          <w:tab w:val="left" w:pos="490"/>
        </w:tabs>
        <w:spacing w:after="15"/>
        <w:jc w:val="both"/>
        <w:rPr>
          <w:rFonts w:hint="eastAsia"/>
          <w:color w:val="00000A"/>
          <w:lang w:val="fr-FR"/>
        </w:rPr>
      </w:pPr>
      <w:r>
        <w:rPr>
          <w:color w:val="00000A"/>
          <w:lang w:val="fr-FR"/>
        </w:rPr>
        <w:tab/>
      </w:r>
    </w:p>
    <w:p w:rsidR="0001433F" w:rsidRDefault="00C0115D">
      <w:pPr>
        <w:pStyle w:val="Standard"/>
        <w:spacing w:after="15"/>
        <w:jc w:val="both"/>
        <w:rPr>
          <w:rFonts w:hint="eastAsia"/>
          <w:color w:val="00000A"/>
          <w:lang w:val="fr-FR"/>
        </w:rPr>
      </w:pPr>
      <w:r>
        <w:rPr>
          <w:color w:val="00000A"/>
          <w:lang w:val="fr-FR"/>
        </w:rPr>
        <w:t xml:space="preserve">L'unité de recherche sur les abris (IFRC-SRU) a fait appel à une consultante spécialiste du secteur pour élaborer le contenu de la formation et délivrer une partie des sessions. Pour la seconde formation se </w:t>
      </w:r>
      <w:proofErr w:type="spellStart"/>
      <w:r>
        <w:rPr>
          <w:color w:val="00000A"/>
          <w:lang w:val="fr-FR"/>
        </w:rPr>
        <w:t>deroulant</w:t>
      </w:r>
      <w:proofErr w:type="spellEnd"/>
      <w:r>
        <w:rPr>
          <w:color w:val="00000A"/>
          <w:lang w:val="fr-FR"/>
        </w:rPr>
        <w:t xml:space="preserve"> au Kenya, des représentants de la Croix Rouge Kenyane et de la Croix Rouge Ougandaise encadrées par la consultante, ont également contribué à animer la formation. L’objectif </w:t>
      </w:r>
      <w:proofErr w:type="spellStart"/>
      <w:r>
        <w:rPr>
          <w:color w:val="00000A"/>
          <w:lang w:val="fr-FR"/>
        </w:rPr>
        <w:t>etant</w:t>
      </w:r>
      <w:proofErr w:type="spellEnd"/>
      <w:r>
        <w:rPr>
          <w:color w:val="00000A"/>
          <w:lang w:val="fr-FR"/>
        </w:rPr>
        <w:t xml:space="preserve"> de renforcer les capacités au niveau Régional de soutenir cette formation à plus </w:t>
      </w:r>
      <w:proofErr w:type="spellStart"/>
      <w:r>
        <w:rPr>
          <w:color w:val="00000A"/>
          <w:lang w:val="fr-FR"/>
        </w:rPr>
        <w:t>longterme</w:t>
      </w:r>
      <w:proofErr w:type="spellEnd"/>
      <w:r>
        <w:rPr>
          <w:color w:val="00000A"/>
          <w:lang w:val="fr-FR"/>
        </w:rPr>
        <w:t>.</w:t>
      </w:r>
    </w:p>
    <w:p w:rsidR="0001433F" w:rsidRDefault="00C0115D">
      <w:pPr>
        <w:pStyle w:val="Standard"/>
        <w:spacing w:after="15"/>
        <w:jc w:val="both"/>
        <w:rPr>
          <w:rFonts w:hint="eastAsia"/>
          <w:color w:val="00000A"/>
          <w:lang w:val="fr-FR"/>
        </w:rPr>
      </w:pPr>
      <w:r>
        <w:rPr>
          <w:color w:val="00000A"/>
          <w:lang w:val="fr-FR"/>
        </w:rPr>
        <w:t>Enfin, certaines sessions ont été animées par des représentant de la FICR de la Région et du bureau de la Zone.</w:t>
      </w:r>
    </w:p>
    <w:p w:rsidR="0001433F" w:rsidRPr="002F7227" w:rsidRDefault="0001433F">
      <w:pPr>
        <w:pStyle w:val="Standard"/>
        <w:rPr>
          <w:rFonts w:hint="eastAsia"/>
          <w:lang w:val="fr-LU"/>
        </w:rPr>
      </w:pPr>
    </w:p>
    <w:p w:rsidR="0001433F" w:rsidRDefault="00C0115D">
      <w:pPr>
        <w:pStyle w:val="Standard"/>
        <w:rPr>
          <w:rFonts w:ascii="HelveticaNeueLTStd-Hv" w:hAnsi="HelveticaNeueLTStd-Hv" w:hint="eastAsia"/>
          <w:color w:val="693228"/>
          <w:sz w:val="44"/>
          <w:szCs w:val="44"/>
          <w:lang w:val="fr-CH"/>
        </w:rPr>
      </w:pPr>
      <w:r>
        <w:rPr>
          <w:rFonts w:ascii="HelveticaNeueLTStd-Hv" w:hAnsi="HelveticaNeueLTStd-Hv"/>
          <w:color w:val="693228"/>
          <w:sz w:val="44"/>
          <w:szCs w:val="44"/>
          <w:lang w:val="fr-CH"/>
        </w:rPr>
        <w:t>6. Déroulement des formations</w:t>
      </w:r>
    </w:p>
    <w:p w:rsidR="0001433F" w:rsidRDefault="0001433F">
      <w:pPr>
        <w:pStyle w:val="Standard"/>
        <w:jc w:val="both"/>
        <w:rPr>
          <w:rFonts w:ascii="CaeciliaLTStd-Light" w:hAnsi="CaeciliaLTStd-Light" w:cs="CaeciliaLTStd-Light" w:hint="eastAsia"/>
          <w:sz w:val="19"/>
          <w:szCs w:val="19"/>
          <w:lang w:val="fr-CH"/>
        </w:rPr>
      </w:pPr>
    </w:p>
    <w:p w:rsidR="0001433F" w:rsidRDefault="00C0115D">
      <w:pPr>
        <w:pStyle w:val="Standard"/>
        <w:spacing w:after="15"/>
        <w:jc w:val="both"/>
        <w:rPr>
          <w:rFonts w:hint="eastAsia"/>
          <w:color w:val="00000A"/>
          <w:lang w:val="fr-FR"/>
        </w:rPr>
      </w:pPr>
      <w:r>
        <w:rPr>
          <w:color w:val="00000A"/>
          <w:lang w:val="fr-FR"/>
        </w:rPr>
        <w:t>En coordination avec le bureau Régional de la FICR, et le soutien technique de la Croix Rouge de Dakar et du Kenya, deux formations ont été organisées sur le continent Africain en 2019 par le IFRC-SRU.</w:t>
      </w:r>
    </w:p>
    <w:p w:rsidR="0001433F" w:rsidRDefault="0001433F">
      <w:pPr>
        <w:pStyle w:val="Standard"/>
        <w:spacing w:after="15"/>
        <w:jc w:val="both"/>
        <w:rPr>
          <w:rFonts w:hint="eastAsia"/>
          <w:color w:val="00000A"/>
          <w:lang w:val="fr-FR"/>
        </w:rPr>
      </w:pPr>
    </w:p>
    <w:p w:rsidR="0001433F" w:rsidRPr="002F7227" w:rsidRDefault="00C0115D">
      <w:pPr>
        <w:pStyle w:val="Standard"/>
        <w:spacing w:after="15"/>
        <w:jc w:val="both"/>
        <w:rPr>
          <w:rFonts w:hint="eastAsia"/>
          <w:lang w:val="fr-LU"/>
        </w:rPr>
      </w:pPr>
      <w:r>
        <w:rPr>
          <w:color w:val="00000A"/>
          <w:lang w:val="fr-FR"/>
        </w:rPr>
        <w:t>Les participants des Sociétés Nationales francophones ont été conviées à séjourner du 1</w:t>
      </w:r>
      <w:r>
        <w:rPr>
          <w:color w:val="00000A"/>
          <w:vertAlign w:val="superscript"/>
          <w:lang w:val="fr-FR"/>
        </w:rPr>
        <w:t>er</w:t>
      </w:r>
      <w:r>
        <w:rPr>
          <w:color w:val="00000A"/>
          <w:lang w:val="fr-FR"/>
        </w:rPr>
        <w:t xml:space="preserve"> au 06 Septembre à </w:t>
      </w:r>
      <w:proofErr w:type="spellStart"/>
      <w:r>
        <w:rPr>
          <w:color w:val="00000A"/>
          <w:lang w:val="fr-FR"/>
        </w:rPr>
        <w:t>Saly</w:t>
      </w:r>
      <w:proofErr w:type="spellEnd"/>
      <w:r>
        <w:rPr>
          <w:color w:val="00000A"/>
          <w:lang w:val="fr-FR"/>
        </w:rPr>
        <w:t xml:space="preserve"> au Sénégal. Les participants anglophones des Sociétés Nationales Africaines ont été conviés à une seconde formation du 29 Octobre au 03 Novembre, au centre de formation de l’université de Machakos, au Kenya.</w:t>
      </w:r>
    </w:p>
    <w:p w:rsidR="0001433F" w:rsidRDefault="0001433F">
      <w:pPr>
        <w:pStyle w:val="Standard"/>
        <w:spacing w:after="15"/>
        <w:jc w:val="both"/>
        <w:rPr>
          <w:rFonts w:hint="eastAsia"/>
          <w:color w:val="00000A"/>
          <w:lang w:val="fr-FR"/>
        </w:rPr>
      </w:pPr>
    </w:p>
    <w:p w:rsidR="0001433F" w:rsidRDefault="00C0115D">
      <w:pPr>
        <w:pStyle w:val="Standard"/>
        <w:jc w:val="both"/>
        <w:rPr>
          <w:rFonts w:hint="eastAsia"/>
          <w:color w:val="00000A"/>
          <w:lang w:val="fr-FR"/>
        </w:rPr>
      </w:pPr>
      <w:r>
        <w:rPr>
          <w:color w:val="00000A"/>
          <w:lang w:val="fr-FR"/>
        </w:rPr>
        <w:t>Pendant six jours, les 23 Sociétés Nationales sélectionnées ont été formées sur divers aspects liés au secteur et ont travaillé sur un exercice de simulation aboutissant à la rédaction d’un plan d’action dans le domaine des abris et à la construction d’abris d’urgence.</w:t>
      </w:r>
    </w:p>
    <w:p w:rsidR="0001433F" w:rsidRDefault="0001433F">
      <w:pPr>
        <w:pStyle w:val="Standard"/>
        <w:jc w:val="both"/>
        <w:rPr>
          <w:rFonts w:hint="eastAsia"/>
          <w:color w:val="00000A"/>
          <w:lang w:val="fr-FR"/>
        </w:rPr>
      </w:pPr>
    </w:p>
    <w:p w:rsidR="0001433F" w:rsidRDefault="00C0115D">
      <w:pPr>
        <w:pStyle w:val="Standard"/>
        <w:spacing w:after="30"/>
        <w:jc w:val="both"/>
        <w:rPr>
          <w:rFonts w:hint="eastAsia"/>
          <w:color w:val="00000A"/>
          <w:lang w:val="fr-FR"/>
        </w:rPr>
      </w:pPr>
      <w:r>
        <w:rPr>
          <w:color w:val="00000A"/>
          <w:lang w:val="fr-FR"/>
        </w:rPr>
        <w:t>L’</w:t>
      </w:r>
      <w:proofErr w:type="spellStart"/>
      <w:r>
        <w:rPr>
          <w:color w:val="00000A"/>
          <w:lang w:val="fr-FR"/>
        </w:rPr>
        <w:t>equipe</w:t>
      </w:r>
      <w:proofErr w:type="spellEnd"/>
      <w:r>
        <w:rPr>
          <w:color w:val="00000A"/>
          <w:lang w:val="fr-FR"/>
        </w:rPr>
        <w:t xml:space="preserve"> des formateurs a contribué à l’organisation des ateliers pratiques et à la facilitation des  diverses présentations des sessions de la formation:</w:t>
      </w:r>
    </w:p>
    <w:p w:rsidR="0001433F" w:rsidRDefault="0001433F">
      <w:pPr>
        <w:pStyle w:val="Standard"/>
        <w:spacing w:after="30"/>
        <w:jc w:val="both"/>
        <w:rPr>
          <w:rFonts w:hint="eastAsia"/>
          <w:color w:val="00000A"/>
          <w:lang w:val="fr-FR"/>
        </w:rPr>
      </w:pPr>
    </w:p>
    <w:p w:rsidR="0001433F" w:rsidRDefault="00C0115D">
      <w:pPr>
        <w:pStyle w:val="Standard"/>
        <w:spacing w:after="30"/>
        <w:ind w:left="720"/>
        <w:jc w:val="both"/>
        <w:rPr>
          <w:rFonts w:hint="eastAsia"/>
          <w:b/>
          <w:color w:val="00000A"/>
          <w:lang w:val="fr-FR"/>
        </w:rPr>
      </w:pPr>
      <w:r>
        <w:rPr>
          <w:b/>
          <w:color w:val="00000A"/>
          <w:lang w:val="fr-FR"/>
        </w:rPr>
        <w:t>Pour le IFRC-SRU, bureau central basé au Luxembourg :</w:t>
      </w:r>
    </w:p>
    <w:p w:rsidR="0001433F" w:rsidRDefault="00C0115D">
      <w:pPr>
        <w:pStyle w:val="Standard"/>
        <w:numPr>
          <w:ilvl w:val="0"/>
          <w:numId w:val="2"/>
        </w:numPr>
        <w:spacing w:after="30"/>
        <w:jc w:val="both"/>
        <w:rPr>
          <w:rFonts w:hint="eastAsia"/>
          <w:color w:val="00000A"/>
          <w:lang w:val="fr-FR"/>
        </w:rPr>
      </w:pPr>
      <w:r>
        <w:rPr>
          <w:color w:val="00000A"/>
          <w:lang w:val="fr-FR"/>
        </w:rPr>
        <w:t>Antonella Vitale – IFRC-SRU Responsable de l’unité technique</w:t>
      </w:r>
    </w:p>
    <w:p w:rsidR="0001433F" w:rsidRPr="002F7227" w:rsidRDefault="00C0115D">
      <w:pPr>
        <w:pStyle w:val="Standard"/>
        <w:numPr>
          <w:ilvl w:val="0"/>
          <w:numId w:val="2"/>
        </w:numPr>
        <w:spacing w:after="30"/>
        <w:jc w:val="both"/>
        <w:rPr>
          <w:rFonts w:hint="eastAsia"/>
          <w:lang w:val="fr-LU"/>
        </w:rPr>
      </w:pPr>
      <w:r>
        <w:rPr>
          <w:color w:val="00000A"/>
          <w:lang w:val="fr-FR"/>
        </w:rPr>
        <w:t xml:space="preserve">Corinne </w:t>
      </w:r>
      <w:proofErr w:type="spellStart"/>
      <w:r>
        <w:rPr>
          <w:color w:val="00000A"/>
          <w:lang w:val="fr-FR"/>
        </w:rPr>
        <w:t>Tréherne</w:t>
      </w:r>
      <w:proofErr w:type="spellEnd"/>
      <w:r>
        <w:rPr>
          <w:color w:val="00000A"/>
          <w:lang w:val="fr-FR"/>
        </w:rPr>
        <w:t xml:space="preserve"> – Consultante technique du IFRC-SRU</w:t>
      </w:r>
      <w:r>
        <w:rPr>
          <w:b/>
          <w:color w:val="00000A"/>
          <w:lang w:val="fr-FR"/>
        </w:rPr>
        <w:tab/>
      </w:r>
    </w:p>
    <w:p w:rsidR="0001433F" w:rsidRDefault="0001433F">
      <w:pPr>
        <w:pStyle w:val="Standard"/>
        <w:spacing w:after="30"/>
        <w:ind w:left="420"/>
        <w:jc w:val="both"/>
        <w:rPr>
          <w:rFonts w:hint="eastAsia"/>
          <w:b/>
          <w:color w:val="00000A"/>
          <w:lang w:val="fr-FR"/>
        </w:rPr>
      </w:pPr>
    </w:p>
    <w:p w:rsidR="0001433F" w:rsidRPr="002F7227" w:rsidRDefault="00C0115D">
      <w:pPr>
        <w:pStyle w:val="Standard"/>
        <w:spacing w:after="30"/>
        <w:ind w:left="720"/>
        <w:jc w:val="both"/>
        <w:rPr>
          <w:rFonts w:hint="eastAsia"/>
          <w:lang w:val="fr-LU"/>
        </w:rPr>
      </w:pPr>
      <w:r>
        <w:rPr>
          <w:b/>
          <w:color w:val="00000A"/>
          <w:lang w:val="fr-FR"/>
        </w:rPr>
        <w:t>Pour la FICR  à Genève</w:t>
      </w:r>
      <w:r>
        <w:rPr>
          <w:color w:val="00000A"/>
          <w:lang w:val="fr-FR"/>
        </w:rPr>
        <w:t>, qui a mis à disposition son temps comme contribution à cette formation :</w:t>
      </w:r>
    </w:p>
    <w:p w:rsidR="0001433F" w:rsidRDefault="00C0115D">
      <w:pPr>
        <w:pStyle w:val="Standard"/>
        <w:numPr>
          <w:ilvl w:val="0"/>
          <w:numId w:val="2"/>
        </w:numPr>
        <w:spacing w:after="30"/>
        <w:jc w:val="both"/>
        <w:rPr>
          <w:rFonts w:hint="eastAsia"/>
          <w:color w:val="00000A"/>
          <w:lang w:val="fr-FR"/>
        </w:rPr>
      </w:pPr>
      <w:r>
        <w:rPr>
          <w:color w:val="00000A"/>
          <w:lang w:val="fr-FR"/>
        </w:rPr>
        <w:t xml:space="preserve">Sandra </w:t>
      </w:r>
      <w:proofErr w:type="spellStart"/>
      <w:r>
        <w:rPr>
          <w:color w:val="00000A"/>
          <w:lang w:val="fr-FR"/>
        </w:rPr>
        <w:t>Durzo</w:t>
      </w:r>
      <w:proofErr w:type="spellEnd"/>
      <w:r>
        <w:rPr>
          <w:color w:val="00000A"/>
          <w:lang w:val="fr-FR"/>
        </w:rPr>
        <w:t xml:space="preserve"> – IFRC département abri et établissement humains point focal Afrique basé à Genève</w:t>
      </w:r>
    </w:p>
    <w:p w:rsidR="0001433F" w:rsidRDefault="00C0115D">
      <w:pPr>
        <w:pStyle w:val="Standard"/>
        <w:spacing w:after="30"/>
        <w:ind w:left="420"/>
        <w:jc w:val="both"/>
        <w:rPr>
          <w:rFonts w:hint="eastAsia"/>
          <w:b/>
          <w:color w:val="00000A"/>
          <w:lang w:val="fr-FR"/>
        </w:rPr>
      </w:pPr>
      <w:r>
        <w:rPr>
          <w:b/>
          <w:color w:val="00000A"/>
          <w:lang w:val="fr-FR"/>
        </w:rPr>
        <w:tab/>
      </w:r>
    </w:p>
    <w:p w:rsidR="0001433F" w:rsidRPr="002F7227" w:rsidRDefault="00C0115D">
      <w:pPr>
        <w:pStyle w:val="Standard"/>
        <w:spacing w:after="30"/>
        <w:ind w:left="720"/>
        <w:jc w:val="both"/>
        <w:rPr>
          <w:rFonts w:hint="eastAsia"/>
          <w:lang w:val="fr-LU"/>
        </w:rPr>
      </w:pPr>
      <w:r>
        <w:rPr>
          <w:b/>
          <w:color w:val="00000A"/>
          <w:lang w:val="fr-FR"/>
        </w:rPr>
        <w:t>Pour la FICR, bureau de la Zone Afrique basé au Kenya</w:t>
      </w:r>
      <w:r>
        <w:rPr>
          <w:color w:val="00000A"/>
          <w:lang w:val="fr-FR"/>
        </w:rPr>
        <w:t> :</w:t>
      </w:r>
    </w:p>
    <w:p w:rsidR="0001433F" w:rsidRDefault="00C0115D">
      <w:pPr>
        <w:pStyle w:val="Standard"/>
        <w:numPr>
          <w:ilvl w:val="0"/>
          <w:numId w:val="2"/>
        </w:numPr>
        <w:spacing w:after="30"/>
        <w:jc w:val="both"/>
        <w:rPr>
          <w:rFonts w:hint="eastAsia"/>
          <w:color w:val="00000A"/>
          <w:lang w:val="fr-FR"/>
        </w:rPr>
      </w:pPr>
      <w:proofErr w:type="spellStart"/>
      <w:r>
        <w:rPr>
          <w:color w:val="00000A"/>
          <w:lang w:val="fr-FR"/>
        </w:rPr>
        <w:t>Dipti</w:t>
      </w:r>
      <w:proofErr w:type="spellEnd"/>
      <w:r>
        <w:rPr>
          <w:color w:val="00000A"/>
          <w:lang w:val="fr-FR"/>
        </w:rPr>
        <w:t xml:space="preserve"> </w:t>
      </w:r>
      <w:proofErr w:type="spellStart"/>
      <w:r>
        <w:rPr>
          <w:color w:val="00000A"/>
          <w:lang w:val="fr-FR"/>
        </w:rPr>
        <w:t>Hingorani</w:t>
      </w:r>
      <w:proofErr w:type="spellEnd"/>
      <w:r>
        <w:rPr>
          <w:color w:val="00000A"/>
          <w:lang w:val="fr-FR"/>
        </w:rPr>
        <w:t xml:space="preserve"> – IFRC département abri et établissement humains point focal de la Zone Afrique basée à Nairobi</w:t>
      </w:r>
    </w:p>
    <w:p w:rsidR="0001433F" w:rsidRDefault="00C0115D">
      <w:pPr>
        <w:pStyle w:val="Standard"/>
        <w:numPr>
          <w:ilvl w:val="0"/>
          <w:numId w:val="2"/>
        </w:numPr>
        <w:spacing w:after="30"/>
        <w:jc w:val="both"/>
        <w:rPr>
          <w:rFonts w:hint="eastAsia"/>
          <w:color w:val="00000A"/>
          <w:lang w:val="fr-FR"/>
        </w:rPr>
      </w:pPr>
      <w:r>
        <w:rPr>
          <w:color w:val="00000A"/>
          <w:lang w:val="fr-FR"/>
        </w:rPr>
        <w:t xml:space="preserve">Rishi </w:t>
      </w:r>
      <w:proofErr w:type="spellStart"/>
      <w:r>
        <w:rPr>
          <w:color w:val="00000A"/>
          <w:lang w:val="fr-FR"/>
        </w:rPr>
        <w:t>Ramrakha</w:t>
      </w:r>
      <w:proofErr w:type="spellEnd"/>
      <w:r>
        <w:rPr>
          <w:color w:val="00000A"/>
          <w:lang w:val="fr-FR"/>
        </w:rPr>
        <w:t xml:space="preserve"> - logisticien en chef de la FICR basé à Nairobi</w:t>
      </w:r>
    </w:p>
    <w:p w:rsidR="0001433F" w:rsidRDefault="00C0115D">
      <w:pPr>
        <w:pStyle w:val="Standard"/>
        <w:numPr>
          <w:ilvl w:val="0"/>
          <w:numId w:val="2"/>
        </w:numPr>
        <w:spacing w:after="30"/>
        <w:jc w:val="both"/>
        <w:rPr>
          <w:rFonts w:hint="eastAsia"/>
          <w:color w:val="00000A"/>
          <w:lang w:val="fr-FR"/>
        </w:rPr>
      </w:pPr>
      <w:r>
        <w:rPr>
          <w:color w:val="00000A"/>
          <w:lang w:val="fr-FR"/>
        </w:rPr>
        <w:t xml:space="preserve">Maureen </w:t>
      </w:r>
      <w:proofErr w:type="spellStart"/>
      <w:r>
        <w:rPr>
          <w:color w:val="00000A"/>
          <w:lang w:val="fr-FR"/>
        </w:rPr>
        <w:t>Chepkorir</w:t>
      </w:r>
      <w:proofErr w:type="spellEnd"/>
      <w:r>
        <w:rPr>
          <w:color w:val="00000A"/>
          <w:lang w:val="fr-FR"/>
        </w:rPr>
        <w:t xml:space="preserve"> pour le soutien administratif et financier pour la formation au Kenya</w:t>
      </w:r>
    </w:p>
    <w:p w:rsidR="0001433F" w:rsidRDefault="00C0115D">
      <w:pPr>
        <w:pStyle w:val="Standard"/>
        <w:spacing w:after="30"/>
        <w:ind w:left="420"/>
        <w:jc w:val="both"/>
        <w:rPr>
          <w:rFonts w:hint="eastAsia"/>
          <w:b/>
          <w:color w:val="00000A"/>
          <w:lang w:val="fr-FR"/>
        </w:rPr>
      </w:pPr>
      <w:r>
        <w:rPr>
          <w:b/>
          <w:color w:val="00000A"/>
          <w:lang w:val="fr-FR"/>
        </w:rPr>
        <w:tab/>
      </w:r>
    </w:p>
    <w:p w:rsidR="0001433F" w:rsidRDefault="00C0115D">
      <w:pPr>
        <w:pStyle w:val="Standard"/>
        <w:spacing w:after="30"/>
        <w:ind w:left="420"/>
        <w:jc w:val="both"/>
        <w:rPr>
          <w:rFonts w:hint="eastAsia"/>
          <w:b/>
          <w:color w:val="00000A"/>
          <w:lang w:val="fr-FR"/>
        </w:rPr>
      </w:pPr>
      <w:r>
        <w:rPr>
          <w:b/>
          <w:color w:val="00000A"/>
          <w:lang w:val="fr-FR"/>
        </w:rPr>
        <w:t xml:space="preserve">Pour la FICR, bureau Région Sahel  basé au </w:t>
      </w:r>
      <w:proofErr w:type="spellStart"/>
      <w:r>
        <w:rPr>
          <w:b/>
          <w:color w:val="00000A"/>
          <w:lang w:val="fr-FR"/>
        </w:rPr>
        <w:t>Sénégall</w:t>
      </w:r>
      <w:proofErr w:type="spellEnd"/>
      <w:r>
        <w:rPr>
          <w:b/>
          <w:color w:val="00000A"/>
          <w:lang w:val="fr-FR"/>
        </w:rPr>
        <w:t> :</w:t>
      </w:r>
    </w:p>
    <w:p w:rsidR="0001433F" w:rsidRDefault="00C0115D">
      <w:pPr>
        <w:pStyle w:val="Standard"/>
        <w:numPr>
          <w:ilvl w:val="0"/>
          <w:numId w:val="8"/>
        </w:numPr>
        <w:spacing w:after="30"/>
        <w:jc w:val="both"/>
        <w:rPr>
          <w:rFonts w:hint="eastAsia"/>
          <w:color w:val="00000A"/>
          <w:lang w:val="fr-FR"/>
        </w:rPr>
      </w:pPr>
      <w:r>
        <w:rPr>
          <w:color w:val="00000A"/>
          <w:lang w:val="fr-FR"/>
        </w:rPr>
        <w:t xml:space="preserve">Maria </w:t>
      </w:r>
      <w:proofErr w:type="spellStart"/>
      <w:r>
        <w:rPr>
          <w:color w:val="00000A"/>
          <w:lang w:val="fr-FR"/>
        </w:rPr>
        <w:t>Calzadilla</w:t>
      </w:r>
      <w:proofErr w:type="spellEnd"/>
      <w:r>
        <w:rPr>
          <w:color w:val="00000A"/>
          <w:lang w:val="fr-FR"/>
        </w:rPr>
        <w:t xml:space="preserve"> – point focal du département abri et établissement humains de la Région du Sahel</w:t>
      </w:r>
    </w:p>
    <w:p w:rsidR="0001433F" w:rsidRDefault="00C0115D">
      <w:pPr>
        <w:pStyle w:val="Standard"/>
        <w:numPr>
          <w:ilvl w:val="0"/>
          <w:numId w:val="3"/>
        </w:numPr>
        <w:spacing w:after="30"/>
        <w:jc w:val="both"/>
        <w:rPr>
          <w:rFonts w:hint="eastAsia"/>
          <w:color w:val="00000A"/>
          <w:lang w:val="fr-FR"/>
        </w:rPr>
      </w:pPr>
      <w:r>
        <w:rPr>
          <w:color w:val="00000A"/>
          <w:lang w:val="fr-FR"/>
        </w:rPr>
        <w:t xml:space="preserve">Khady </w:t>
      </w:r>
      <w:proofErr w:type="spellStart"/>
      <w:r>
        <w:rPr>
          <w:color w:val="00000A"/>
          <w:lang w:val="fr-FR"/>
        </w:rPr>
        <w:t>Balde</w:t>
      </w:r>
      <w:proofErr w:type="spellEnd"/>
      <w:r>
        <w:rPr>
          <w:color w:val="00000A"/>
          <w:lang w:val="fr-FR"/>
        </w:rPr>
        <w:t xml:space="preserve"> </w:t>
      </w:r>
      <w:proofErr w:type="spellStart"/>
      <w:r>
        <w:rPr>
          <w:color w:val="00000A"/>
          <w:lang w:val="fr-FR"/>
        </w:rPr>
        <w:t>Diara</w:t>
      </w:r>
      <w:proofErr w:type="spellEnd"/>
      <w:r>
        <w:rPr>
          <w:color w:val="00000A"/>
          <w:lang w:val="fr-FR"/>
        </w:rPr>
        <w:t xml:space="preserve"> pour le soutien administratif et financier pour la formation au Sénégal</w:t>
      </w:r>
    </w:p>
    <w:p w:rsidR="0001433F" w:rsidRDefault="00C0115D">
      <w:pPr>
        <w:pStyle w:val="Standard"/>
        <w:spacing w:after="30"/>
        <w:ind w:left="420"/>
        <w:jc w:val="both"/>
        <w:rPr>
          <w:rFonts w:hint="eastAsia"/>
          <w:b/>
          <w:color w:val="00000A"/>
          <w:lang w:val="fr-FR"/>
        </w:rPr>
      </w:pPr>
      <w:r>
        <w:rPr>
          <w:b/>
          <w:color w:val="00000A"/>
          <w:lang w:val="fr-FR"/>
        </w:rPr>
        <w:tab/>
      </w:r>
    </w:p>
    <w:p w:rsidR="0001433F" w:rsidRDefault="00C0115D">
      <w:pPr>
        <w:pStyle w:val="Standard"/>
        <w:spacing w:after="30"/>
        <w:ind w:left="420"/>
        <w:jc w:val="both"/>
        <w:rPr>
          <w:rFonts w:hint="eastAsia"/>
          <w:b/>
          <w:color w:val="00000A"/>
          <w:lang w:val="fr-FR"/>
        </w:rPr>
      </w:pPr>
      <w:r>
        <w:rPr>
          <w:b/>
          <w:color w:val="00000A"/>
          <w:lang w:val="fr-FR"/>
        </w:rPr>
        <w:t xml:space="preserve">Avec le </w:t>
      </w:r>
      <w:proofErr w:type="spellStart"/>
      <w:r>
        <w:rPr>
          <w:b/>
          <w:color w:val="00000A"/>
          <w:lang w:val="fr-FR"/>
        </w:rPr>
        <w:t>soutient</w:t>
      </w:r>
      <w:proofErr w:type="spellEnd"/>
      <w:r>
        <w:rPr>
          <w:b/>
          <w:color w:val="00000A"/>
          <w:lang w:val="fr-FR"/>
        </w:rPr>
        <w:t xml:space="preserve"> des Sociétés Nationale :</w:t>
      </w:r>
    </w:p>
    <w:p w:rsidR="0001433F" w:rsidRDefault="00C0115D">
      <w:pPr>
        <w:pStyle w:val="Standard"/>
        <w:numPr>
          <w:ilvl w:val="0"/>
          <w:numId w:val="3"/>
        </w:numPr>
        <w:spacing w:after="30"/>
        <w:jc w:val="both"/>
        <w:rPr>
          <w:rFonts w:hint="eastAsia"/>
          <w:color w:val="00000A"/>
          <w:lang w:val="fr-FR"/>
        </w:rPr>
      </w:pPr>
      <w:r>
        <w:rPr>
          <w:color w:val="00000A"/>
          <w:lang w:val="fr-FR"/>
        </w:rPr>
        <w:t xml:space="preserve">Brian </w:t>
      </w:r>
      <w:proofErr w:type="spellStart"/>
      <w:r>
        <w:rPr>
          <w:color w:val="00000A"/>
          <w:lang w:val="fr-FR"/>
        </w:rPr>
        <w:t>Kanaahe</w:t>
      </w:r>
      <w:proofErr w:type="spellEnd"/>
      <w:r>
        <w:rPr>
          <w:color w:val="00000A"/>
          <w:lang w:val="fr-FR"/>
        </w:rPr>
        <w:t xml:space="preserve"> de la Croix Rouge d’Ouganda </w:t>
      </w:r>
      <w:proofErr w:type="spellStart"/>
      <w:r>
        <w:rPr>
          <w:color w:val="00000A"/>
          <w:lang w:val="fr-FR"/>
        </w:rPr>
        <w:t>co</w:t>
      </w:r>
      <w:proofErr w:type="spellEnd"/>
      <w:r>
        <w:rPr>
          <w:color w:val="00000A"/>
          <w:lang w:val="fr-FR"/>
        </w:rPr>
        <w:t>-facilitateur</w:t>
      </w:r>
    </w:p>
    <w:p w:rsidR="0001433F" w:rsidRDefault="00C0115D">
      <w:pPr>
        <w:pStyle w:val="Standard"/>
        <w:numPr>
          <w:ilvl w:val="0"/>
          <w:numId w:val="3"/>
        </w:numPr>
        <w:spacing w:after="30"/>
        <w:jc w:val="both"/>
        <w:rPr>
          <w:rFonts w:hint="eastAsia"/>
          <w:color w:val="00000A"/>
          <w:lang w:val="fr-FR"/>
        </w:rPr>
      </w:pPr>
      <w:r>
        <w:rPr>
          <w:color w:val="00000A"/>
          <w:lang w:val="fr-FR"/>
        </w:rPr>
        <w:t xml:space="preserve">Daniel </w:t>
      </w:r>
      <w:proofErr w:type="spellStart"/>
      <w:r>
        <w:rPr>
          <w:color w:val="00000A"/>
          <w:lang w:val="fr-FR"/>
        </w:rPr>
        <w:t>Mutinda</w:t>
      </w:r>
      <w:proofErr w:type="spellEnd"/>
      <w:r>
        <w:rPr>
          <w:color w:val="00000A"/>
          <w:lang w:val="fr-FR"/>
        </w:rPr>
        <w:t xml:space="preserve"> et </w:t>
      </w:r>
      <w:proofErr w:type="spellStart"/>
      <w:r>
        <w:rPr>
          <w:color w:val="00000A"/>
          <w:lang w:val="fr-FR"/>
        </w:rPr>
        <w:t>Mbalu</w:t>
      </w:r>
      <w:proofErr w:type="spellEnd"/>
      <w:r>
        <w:rPr>
          <w:color w:val="00000A"/>
          <w:lang w:val="fr-FR"/>
        </w:rPr>
        <w:t xml:space="preserve"> Joe de la Croix Rouge  du Kenya </w:t>
      </w:r>
      <w:proofErr w:type="spellStart"/>
      <w:r>
        <w:rPr>
          <w:color w:val="00000A"/>
          <w:lang w:val="fr-FR"/>
        </w:rPr>
        <w:t>co</w:t>
      </w:r>
      <w:proofErr w:type="spellEnd"/>
      <w:r>
        <w:rPr>
          <w:color w:val="00000A"/>
          <w:lang w:val="fr-FR"/>
        </w:rPr>
        <w:t>-facilitateurs</w:t>
      </w:r>
    </w:p>
    <w:p w:rsidR="0001433F" w:rsidRDefault="0001433F">
      <w:pPr>
        <w:pStyle w:val="Standard"/>
        <w:spacing w:after="30"/>
        <w:jc w:val="both"/>
        <w:rPr>
          <w:rFonts w:hint="eastAsia"/>
          <w:color w:val="00000A"/>
          <w:lang w:val="fr-FR"/>
        </w:rPr>
      </w:pPr>
    </w:p>
    <w:p w:rsidR="0001433F" w:rsidRDefault="0001433F">
      <w:pPr>
        <w:pStyle w:val="Standard"/>
        <w:rPr>
          <w:rFonts w:hint="eastAsia"/>
          <w:b/>
          <w:bCs/>
          <w:i/>
          <w:iCs/>
          <w:sz w:val="32"/>
          <w:szCs w:val="32"/>
          <w:lang w:val="fr-FR"/>
        </w:rPr>
      </w:pPr>
    </w:p>
    <w:p w:rsidR="0001433F" w:rsidRDefault="0001433F">
      <w:pPr>
        <w:pStyle w:val="Standard"/>
        <w:rPr>
          <w:rFonts w:hint="eastAsia"/>
          <w:b/>
          <w:bCs/>
          <w:i/>
          <w:iCs/>
          <w:sz w:val="32"/>
          <w:szCs w:val="32"/>
          <w:lang w:val="fr-FR"/>
        </w:rPr>
      </w:pPr>
    </w:p>
    <w:p w:rsidR="0001433F" w:rsidRDefault="00C0115D">
      <w:pPr>
        <w:pStyle w:val="Standard"/>
        <w:rPr>
          <w:rFonts w:ascii="HelveticaNeueLTStd-Hv" w:hAnsi="HelveticaNeueLTStd-Hv" w:hint="eastAsia"/>
          <w:color w:val="693228"/>
          <w:sz w:val="44"/>
          <w:szCs w:val="44"/>
          <w:lang w:val="fr-CH"/>
        </w:rPr>
      </w:pPr>
      <w:r>
        <w:rPr>
          <w:rFonts w:ascii="HelveticaNeueLTStd-Hv" w:hAnsi="HelveticaNeueLTStd-Hv"/>
          <w:color w:val="693228"/>
          <w:sz w:val="44"/>
          <w:szCs w:val="44"/>
          <w:lang w:val="fr-CH"/>
        </w:rPr>
        <w:t>7. Contenus de la formation</w:t>
      </w:r>
    </w:p>
    <w:p w:rsidR="0001433F" w:rsidRDefault="00C0115D">
      <w:pPr>
        <w:pStyle w:val="Standard"/>
        <w:spacing w:after="30"/>
        <w:jc w:val="both"/>
        <w:rPr>
          <w:rFonts w:hint="eastAsia"/>
          <w:color w:val="00000A"/>
          <w:lang w:val="fr-FR"/>
        </w:rPr>
      </w:pPr>
      <w:r>
        <w:rPr>
          <w:color w:val="00000A"/>
          <w:lang w:val="fr-FR"/>
        </w:rPr>
        <w:t>La formation comprend de nombreuses présentations, des exercices pratiques et un exercice de simulation.</w:t>
      </w:r>
    </w:p>
    <w:p w:rsidR="0001433F" w:rsidRDefault="00C0115D">
      <w:pPr>
        <w:pStyle w:val="Standard"/>
        <w:spacing w:after="30"/>
        <w:jc w:val="both"/>
        <w:rPr>
          <w:rFonts w:hint="eastAsia"/>
          <w:color w:val="00000A"/>
          <w:lang w:val="fr-FR"/>
        </w:rPr>
      </w:pPr>
      <w:r>
        <w:rPr>
          <w:color w:val="00000A"/>
          <w:lang w:val="fr-FR"/>
        </w:rPr>
        <w:t>Les objectifs ont été d’aborder les thèmes récurrents au secteur afin de :</w:t>
      </w:r>
    </w:p>
    <w:p w:rsidR="0001433F" w:rsidRDefault="00C0115D">
      <w:pPr>
        <w:pStyle w:val="Standard"/>
        <w:numPr>
          <w:ilvl w:val="0"/>
          <w:numId w:val="9"/>
        </w:numPr>
        <w:spacing w:after="30"/>
        <w:jc w:val="both"/>
        <w:rPr>
          <w:rFonts w:hint="eastAsia"/>
          <w:color w:val="00000A"/>
          <w:lang w:val="fr-FR"/>
        </w:rPr>
      </w:pPr>
      <w:r>
        <w:rPr>
          <w:color w:val="00000A"/>
          <w:lang w:val="fr-FR"/>
        </w:rPr>
        <w:t>Comprendre le secteur des abris et établissements humains en présentant l'éventail des options d'intervention, en soulignant les bonnes pratiques en matière de programmes</w:t>
      </w:r>
    </w:p>
    <w:p w:rsidR="0001433F" w:rsidRDefault="00C0115D">
      <w:pPr>
        <w:pStyle w:val="Standard"/>
        <w:numPr>
          <w:ilvl w:val="0"/>
          <w:numId w:val="5"/>
        </w:numPr>
        <w:spacing w:after="30"/>
        <w:jc w:val="both"/>
        <w:rPr>
          <w:rFonts w:hint="eastAsia"/>
          <w:color w:val="00000A"/>
          <w:lang w:val="fr-FR"/>
        </w:rPr>
      </w:pPr>
      <w:r>
        <w:rPr>
          <w:color w:val="00000A"/>
          <w:lang w:val="fr-FR"/>
        </w:rPr>
        <w:t>Apprendre comment effectuer des évaluations en réponse aux besoins du secteur des abris et établissements humains,</w:t>
      </w:r>
    </w:p>
    <w:p w:rsidR="0001433F" w:rsidRDefault="00C0115D">
      <w:pPr>
        <w:pStyle w:val="Standard"/>
        <w:numPr>
          <w:ilvl w:val="0"/>
          <w:numId w:val="5"/>
        </w:numPr>
        <w:spacing w:after="30"/>
        <w:jc w:val="both"/>
        <w:rPr>
          <w:rFonts w:hint="eastAsia"/>
          <w:color w:val="00000A"/>
          <w:lang w:val="fr-FR"/>
        </w:rPr>
      </w:pPr>
      <w:r>
        <w:rPr>
          <w:color w:val="00000A"/>
          <w:lang w:val="fr-FR"/>
        </w:rPr>
        <w:t>Acquérir les connaissances sur les normes, l'orientation et les outils pour les programmes d’abris et établissements humains,</w:t>
      </w:r>
    </w:p>
    <w:p w:rsidR="0001433F" w:rsidRDefault="00C0115D">
      <w:pPr>
        <w:pStyle w:val="Standard"/>
        <w:numPr>
          <w:ilvl w:val="0"/>
          <w:numId w:val="5"/>
        </w:numPr>
        <w:spacing w:after="30"/>
        <w:jc w:val="both"/>
        <w:rPr>
          <w:rFonts w:hint="eastAsia"/>
          <w:color w:val="00000A"/>
          <w:lang w:val="fr-FR"/>
        </w:rPr>
      </w:pPr>
      <w:r>
        <w:rPr>
          <w:color w:val="00000A"/>
          <w:lang w:val="fr-FR"/>
        </w:rPr>
        <w:t>Accroître les connaissances sur les approches de relèvement, les programmes urbains, la réduction des risques de catastrophes et la résilience des abris et reconstruire des abris plus sûrs.</w:t>
      </w:r>
    </w:p>
    <w:p w:rsidR="0001433F" w:rsidRDefault="00C0115D">
      <w:pPr>
        <w:pStyle w:val="Standard"/>
        <w:numPr>
          <w:ilvl w:val="0"/>
          <w:numId w:val="10"/>
        </w:numPr>
        <w:spacing w:after="27"/>
        <w:jc w:val="both"/>
        <w:rPr>
          <w:rFonts w:hint="eastAsia"/>
          <w:color w:val="00000A"/>
          <w:lang w:val="fr-FR"/>
        </w:rPr>
      </w:pPr>
      <w:r>
        <w:rPr>
          <w:color w:val="00000A"/>
          <w:lang w:val="fr-FR"/>
        </w:rPr>
        <w:t>Elaborer une stratégie et un plan d'action en matière d’abris et établissements humains,</w:t>
      </w:r>
    </w:p>
    <w:p w:rsidR="0001433F" w:rsidRDefault="00C0115D">
      <w:pPr>
        <w:pStyle w:val="Standard"/>
        <w:numPr>
          <w:ilvl w:val="0"/>
          <w:numId w:val="4"/>
        </w:numPr>
        <w:spacing w:after="27"/>
        <w:jc w:val="both"/>
        <w:rPr>
          <w:rFonts w:hint="eastAsia"/>
          <w:color w:val="00000A"/>
          <w:lang w:val="fr-FR"/>
        </w:rPr>
      </w:pPr>
      <w:r>
        <w:rPr>
          <w:color w:val="00000A"/>
          <w:lang w:val="fr-FR"/>
        </w:rPr>
        <w:t>Connaitre les outils, procédures, les options de financement de la FICR et outils d’intervention d’urgence dans le secteur, y compris les DREF et les Appels.</w:t>
      </w:r>
    </w:p>
    <w:p w:rsidR="0001433F" w:rsidRDefault="00C0115D">
      <w:pPr>
        <w:pStyle w:val="Standard"/>
        <w:numPr>
          <w:ilvl w:val="0"/>
          <w:numId w:val="4"/>
        </w:numPr>
        <w:spacing w:after="27"/>
        <w:jc w:val="both"/>
        <w:rPr>
          <w:rFonts w:hint="eastAsia"/>
          <w:color w:val="00000A"/>
          <w:lang w:val="fr-FR"/>
        </w:rPr>
      </w:pPr>
      <w:r>
        <w:rPr>
          <w:color w:val="00000A"/>
          <w:lang w:val="fr-FR"/>
        </w:rPr>
        <w:lastRenderedPageBreak/>
        <w:t>Connaitre les mécanismes de coordination du groupe sectoriel abris et établissements humains et le rôle de la FICR chef de file de la coordination Cluster dans le secteur,</w:t>
      </w:r>
    </w:p>
    <w:p w:rsidR="0001433F" w:rsidRDefault="00C0115D">
      <w:pPr>
        <w:pStyle w:val="Standard"/>
        <w:numPr>
          <w:ilvl w:val="0"/>
          <w:numId w:val="11"/>
        </w:numPr>
        <w:spacing w:after="30"/>
        <w:jc w:val="both"/>
        <w:rPr>
          <w:rFonts w:hint="eastAsia"/>
          <w:color w:val="00000A"/>
          <w:lang w:val="fr-FR"/>
        </w:rPr>
      </w:pPr>
      <w:r>
        <w:rPr>
          <w:color w:val="00000A"/>
          <w:lang w:val="fr-FR"/>
        </w:rPr>
        <w:t>Cerner les méthodes et solutions d’assistance, les normes, standards, orientations et outils pour les programmes d’abris et établissements humains ;</w:t>
      </w:r>
    </w:p>
    <w:p w:rsidR="0001433F" w:rsidRDefault="00C0115D">
      <w:pPr>
        <w:pStyle w:val="Standard"/>
        <w:numPr>
          <w:ilvl w:val="0"/>
          <w:numId w:val="6"/>
        </w:numPr>
        <w:spacing w:after="30"/>
        <w:jc w:val="both"/>
        <w:rPr>
          <w:rFonts w:hint="eastAsia"/>
          <w:color w:val="00000A"/>
          <w:lang w:val="fr-FR"/>
        </w:rPr>
      </w:pPr>
      <w:r>
        <w:rPr>
          <w:color w:val="00000A"/>
          <w:lang w:val="fr-FR"/>
        </w:rPr>
        <w:t>Comprendre les enjeux pour une bonne planification des établissements humains</w:t>
      </w:r>
    </w:p>
    <w:p w:rsidR="0001433F" w:rsidRDefault="00C0115D">
      <w:pPr>
        <w:pStyle w:val="Standard"/>
        <w:numPr>
          <w:ilvl w:val="0"/>
          <w:numId w:val="6"/>
        </w:numPr>
        <w:spacing w:after="30"/>
        <w:jc w:val="both"/>
        <w:rPr>
          <w:rFonts w:hint="eastAsia"/>
          <w:color w:val="00000A"/>
          <w:lang w:val="fr-FR"/>
        </w:rPr>
      </w:pPr>
      <w:r>
        <w:rPr>
          <w:color w:val="00000A"/>
          <w:lang w:val="fr-FR"/>
        </w:rPr>
        <w:t>Apprendre les outils et méthodes de distribution incluant les articles non alimentaires et l’assistance financière</w:t>
      </w:r>
    </w:p>
    <w:p w:rsidR="0001433F" w:rsidRDefault="00C0115D">
      <w:pPr>
        <w:pStyle w:val="Standard"/>
        <w:numPr>
          <w:ilvl w:val="0"/>
          <w:numId w:val="6"/>
        </w:numPr>
        <w:spacing w:after="30"/>
        <w:jc w:val="both"/>
        <w:rPr>
          <w:rFonts w:hint="eastAsia"/>
          <w:color w:val="00000A"/>
          <w:lang w:val="fr-FR"/>
        </w:rPr>
      </w:pPr>
      <w:r>
        <w:rPr>
          <w:color w:val="00000A"/>
          <w:lang w:val="fr-FR"/>
        </w:rPr>
        <w:t>Assurer une bonne coordination avec le soutien de la logistique</w:t>
      </w:r>
    </w:p>
    <w:p w:rsidR="0001433F" w:rsidRDefault="00C0115D">
      <w:pPr>
        <w:pStyle w:val="Standard"/>
        <w:numPr>
          <w:ilvl w:val="0"/>
          <w:numId w:val="6"/>
        </w:numPr>
        <w:spacing w:after="30"/>
        <w:jc w:val="both"/>
        <w:rPr>
          <w:rFonts w:hint="eastAsia"/>
          <w:color w:val="00000A"/>
          <w:lang w:val="fr-FR"/>
        </w:rPr>
      </w:pPr>
      <w:r>
        <w:rPr>
          <w:color w:val="00000A"/>
          <w:lang w:val="fr-FR"/>
        </w:rPr>
        <w:t>Comprendre les enjeux de la phase de redressement dans le secteur</w:t>
      </w:r>
    </w:p>
    <w:p w:rsidR="0001433F" w:rsidRDefault="00C0115D">
      <w:pPr>
        <w:pStyle w:val="Standard"/>
        <w:numPr>
          <w:ilvl w:val="0"/>
          <w:numId w:val="6"/>
        </w:numPr>
        <w:spacing w:after="30"/>
        <w:jc w:val="both"/>
        <w:rPr>
          <w:rFonts w:hint="eastAsia"/>
          <w:color w:val="00000A"/>
          <w:lang w:val="fr-FR"/>
        </w:rPr>
      </w:pPr>
      <w:r>
        <w:rPr>
          <w:color w:val="00000A"/>
          <w:lang w:val="fr-FR"/>
        </w:rPr>
        <w:t>Développer les supports technique et pédagogique incluant un exercice de développement d’un outil de sensibilisation des risques et des bonnes pratiques constructives</w:t>
      </w:r>
    </w:p>
    <w:p w:rsidR="0001433F" w:rsidRDefault="00C0115D">
      <w:pPr>
        <w:pStyle w:val="Standard"/>
        <w:numPr>
          <w:ilvl w:val="0"/>
          <w:numId w:val="6"/>
        </w:numPr>
        <w:spacing w:after="30"/>
        <w:jc w:val="both"/>
        <w:rPr>
          <w:rFonts w:hint="eastAsia"/>
          <w:color w:val="00000A"/>
          <w:lang w:val="fr-FR"/>
        </w:rPr>
      </w:pPr>
      <w:r>
        <w:rPr>
          <w:color w:val="00000A"/>
          <w:lang w:val="fr-FR"/>
        </w:rPr>
        <w:t>Comprendre comment aborder la situation du handicap physique et les besoins spécifiques à apporter pour ce public cible</w:t>
      </w:r>
    </w:p>
    <w:p w:rsidR="0001433F" w:rsidRDefault="00C0115D">
      <w:pPr>
        <w:pStyle w:val="Standard"/>
        <w:numPr>
          <w:ilvl w:val="0"/>
          <w:numId w:val="6"/>
        </w:numPr>
        <w:spacing w:after="30"/>
        <w:jc w:val="both"/>
        <w:rPr>
          <w:rFonts w:hint="eastAsia"/>
          <w:color w:val="00000A"/>
          <w:lang w:val="fr-FR"/>
        </w:rPr>
      </w:pPr>
      <w:r>
        <w:rPr>
          <w:color w:val="00000A"/>
          <w:lang w:val="fr-FR"/>
        </w:rPr>
        <w:t>Apprendre comment effectuer des évaluations des besoins et des dommages</w:t>
      </w:r>
    </w:p>
    <w:p w:rsidR="0001433F" w:rsidRDefault="00C0115D">
      <w:pPr>
        <w:pStyle w:val="Standard"/>
        <w:numPr>
          <w:ilvl w:val="0"/>
          <w:numId w:val="4"/>
        </w:numPr>
        <w:spacing w:after="27"/>
        <w:jc w:val="both"/>
        <w:rPr>
          <w:rFonts w:hint="eastAsia"/>
          <w:color w:val="00000A"/>
          <w:lang w:val="fr-FR"/>
        </w:rPr>
      </w:pPr>
      <w:r>
        <w:rPr>
          <w:color w:val="00000A"/>
          <w:lang w:val="fr-FR"/>
        </w:rPr>
        <w:t>Apprendre à élaborer un plan d'action détaillé dans le domaine des abris et établissements humains</w:t>
      </w:r>
    </w:p>
    <w:p w:rsidR="0001433F" w:rsidRDefault="00C0115D">
      <w:pPr>
        <w:pStyle w:val="Standard"/>
        <w:numPr>
          <w:ilvl w:val="0"/>
          <w:numId w:val="6"/>
        </w:numPr>
        <w:spacing w:after="30"/>
        <w:jc w:val="both"/>
        <w:rPr>
          <w:rFonts w:hint="eastAsia"/>
          <w:color w:val="00000A"/>
          <w:lang w:val="fr-FR"/>
        </w:rPr>
      </w:pPr>
      <w:r>
        <w:rPr>
          <w:color w:val="00000A"/>
          <w:lang w:val="fr-FR"/>
        </w:rPr>
        <w:t>Partager ses expériences sur le secteur en illustrant les bonnes pratiques en matière de programmes d’abris et établissements humains ;</w:t>
      </w:r>
    </w:p>
    <w:p w:rsidR="0001433F" w:rsidRDefault="00C0115D">
      <w:pPr>
        <w:pStyle w:val="Standard"/>
        <w:numPr>
          <w:ilvl w:val="0"/>
          <w:numId w:val="4"/>
        </w:numPr>
        <w:spacing w:after="27"/>
        <w:jc w:val="both"/>
        <w:rPr>
          <w:rFonts w:hint="eastAsia"/>
          <w:color w:val="00000A"/>
          <w:lang w:val="fr-FR"/>
        </w:rPr>
      </w:pPr>
      <w:r>
        <w:rPr>
          <w:color w:val="00000A"/>
          <w:lang w:val="fr-FR"/>
        </w:rPr>
        <w:t>Apprendre à développer un design d’abri d’urgence correspondant aux pratiques culturelles locales et contraintes climatiques</w:t>
      </w:r>
    </w:p>
    <w:p w:rsidR="0001433F" w:rsidRDefault="00C0115D">
      <w:pPr>
        <w:pStyle w:val="Standard"/>
        <w:numPr>
          <w:ilvl w:val="0"/>
          <w:numId w:val="4"/>
        </w:numPr>
        <w:spacing w:after="27"/>
        <w:jc w:val="both"/>
        <w:rPr>
          <w:rFonts w:hint="eastAsia"/>
          <w:color w:val="00000A"/>
          <w:lang w:val="fr-FR"/>
        </w:rPr>
      </w:pPr>
      <w:r>
        <w:rPr>
          <w:color w:val="00000A"/>
          <w:lang w:val="fr-FR"/>
        </w:rPr>
        <w:t>Comprendre les principes constructifs assurant la construction d’un abri Secure, adapté aux besoins.</w:t>
      </w:r>
    </w:p>
    <w:p w:rsidR="0001433F" w:rsidRDefault="0001433F">
      <w:pPr>
        <w:pStyle w:val="Standard"/>
        <w:spacing w:after="27"/>
        <w:jc w:val="both"/>
        <w:rPr>
          <w:rFonts w:hint="eastAsia"/>
          <w:color w:val="00000A"/>
          <w:lang w:val="fr-FR"/>
        </w:rPr>
      </w:pPr>
    </w:p>
    <w:p w:rsidR="0001433F" w:rsidRDefault="0001433F">
      <w:pPr>
        <w:pStyle w:val="Standard"/>
        <w:spacing w:after="27"/>
        <w:jc w:val="both"/>
        <w:rPr>
          <w:rFonts w:hint="eastAsia"/>
          <w:color w:val="00000A"/>
          <w:lang w:val="fr-FR"/>
        </w:rPr>
      </w:pPr>
    </w:p>
    <w:p w:rsidR="0001433F" w:rsidRDefault="00C0115D">
      <w:pPr>
        <w:pStyle w:val="Standard"/>
        <w:spacing w:after="27"/>
        <w:jc w:val="both"/>
        <w:rPr>
          <w:rFonts w:hint="eastAsia"/>
          <w:color w:val="00000A"/>
          <w:lang w:val="fr-FR"/>
        </w:rPr>
      </w:pPr>
      <w:r>
        <w:rPr>
          <w:color w:val="00000A"/>
          <w:lang w:val="fr-FR"/>
        </w:rPr>
        <w:t>Les formations sont également l’opportunité de partager les expériences respectives des Sociétés Nationales invitées. Des cessions d’échange, des projections vidéo ont été planifiées en soirées.</w:t>
      </w:r>
    </w:p>
    <w:p w:rsidR="0001433F" w:rsidRDefault="0001433F">
      <w:pPr>
        <w:pStyle w:val="Standard"/>
        <w:spacing w:after="27"/>
        <w:jc w:val="both"/>
        <w:rPr>
          <w:rFonts w:hint="eastAsia"/>
          <w:color w:val="00000A"/>
          <w:lang w:val="fr-FR"/>
        </w:rPr>
      </w:pPr>
    </w:p>
    <w:p w:rsidR="0001433F" w:rsidRDefault="0001433F">
      <w:pPr>
        <w:pStyle w:val="Standard"/>
        <w:spacing w:after="27"/>
        <w:jc w:val="both"/>
        <w:rPr>
          <w:rFonts w:hint="eastAsia"/>
          <w:color w:val="00000A"/>
          <w:lang w:val="fr-FR"/>
        </w:rPr>
      </w:pPr>
    </w:p>
    <w:p w:rsidR="0001433F" w:rsidRDefault="0001433F">
      <w:pPr>
        <w:pStyle w:val="Standard"/>
        <w:spacing w:after="27"/>
        <w:jc w:val="both"/>
        <w:rPr>
          <w:rFonts w:hint="eastAsia"/>
          <w:color w:val="00000A"/>
          <w:lang w:val="fr-FR"/>
        </w:rPr>
      </w:pPr>
    </w:p>
    <w:p w:rsidR="0001433F" w:rsidRDefault="00C0115D">
      <w:pPr>
        <w:pStyle w:val="Standard"/>
        <w:spacing w:after="27"/>
        <w:jc w:val="both"/>
        <w:rPr>
          <w:rFonts w:hint="eastAsia"/>
          <w:color w:val="00000A"/>
          <w:lang w:val="fr-FR"/>
        </w:rPr>
      </w:pPr>
      <w:r>
        <w:rPr>
          <w:color w:val="00000A"/>
          <w:lang w:val="fr-FR"/>
        </w:rPr>
        <w:t>Présentations formation Francophone au Sénégal :</w:t>
      </w:r>
    </w:p>
    <w:p w:rsidR="0001433F" w:rsidRDefault="0001433F">
      <w:pPr>
        <w:pStyle w:val="Standard"/>
        <w:spacing w:after="27"/>
        <w:jc w:val="both"/>
        <w:rPr>
          <w:rFonts w:hint="eastAsia"/>
          <w:color w:val="00000A"/>
          <w:lang w:val="fr-FR"/>
        </w:rPr>
      </w:pPr>
    </w:p>
    <w:p w:rsidR="0001433F" w:rsidRDefault="00C0115D">
      <w:pPr>
        <w:pStyle w:val="Standard"/>
        <w:numPr>
          <w:ilvl w:val="0"/>
          <w:numId w:val="4"/>
        </w:numPr>
        <w:spacing w:after="27"/>
        <w:jc w:val="both"/>
        <w:rPr>
          <w:rFonts w:hint="eastAsia"/>
          <w:color w:val="00000A"/>
          <w:lang w:val="fr-FR"/>
        </w:rPr>
      </w:pPr>
      <w:r>
        <w:rPr>
          <w:color w:val="00000A"/>
          <w:lang w:val="fr-FR"/>
        </w:rPr>
        <w:t xml:space="preserve">Le IFRC-SRU </w:t>
      </w:r>
      <w:r>
        <w:rPr>
          <w:color w:val="00000A"/>
          <w:lang w:val="fr-FR"/>
        </w:rPr>
        <w:tab/>
      </w:r>
      <w:r>
        <w:rPr>
          <w:color w:val="00000A"/>
          <w:lang w:val="fr-FR"/>
        </w:rPr>
        <w:tab/>
      </w:r>
      <w:r>
        <w:rPr>
          <w:color w:val="00000A"/>
          <w:lang w:val="fr-FR"/>
        </w:rPr>
        <w:tab/>
        <w:t>- Aides techniques et services</w:t>
      </w:r>
    </w:p>
    <w:p w:rsidR="0001433F" w:rsidRDefault="00C0115D">
      <w:pPr>
        <w:pStyle w:val="Standard"/>
        <w:numPr>
          <w:ilvl w:val="0"/>
          <w:numId w:val="4"/>
        </w:numPr>
        <w:spacing w:after="27"/>
        <w:jc w:val="both"/>
        <w:rPr>
          <w:rFonts w:hint="eastAsia"/>
          <w:color w:val="00000A"/>
          <w:lang w:val="fr-FR"/>
        </w:rPr>
      </w:pPr>
      <w:r>
        <w:rPr>
          <w:color w:val="00000A"/>
          <w:lang w:val="fr-FR"/>
        </w:rPr>
        <w:t xml:space="preserve">La Croix Rouge des Comores </w:t>
      </w:r>
      <w:r>
        <w:rPr>
          <w:color w:val="00000A"/>
          <w:lang w:val="fr-FR"/>
        </w:rPr>
        <w:tab/>
        <w:t>- Les challenges de la coordination</w:t>
      </w:r>
    </w:p>
    <w:p w:rsidR="0001433F" w:rsidRDefault="00C0115D">
      <w:pPr>
        <w:pStyle w:val="Standard"/>
        <w:numPr>
          <w:ilvl w:val="0"/>
          <w:numId w:val="4"/>
        </w:numPr>
        <w:spacing w:after="27"/>
        <w:jc w:val="both"/>
        <w:rPr>
          <w:rFonts w:hint="eastAsia"/>
          <w:color w:val="00000A"/>
          <w:lang w:val="fr-FR"/>
        </w:rPr>
      </w:pPr>
      <w:r>
        <w:rPr>
          <w:color w:val="00000A"/>
          <w:lang w:val="fr-FR"/>
        </w:rPr>
        <w:t>La Croix Rouge du Cameroun</w:t>
      </w:r>
      <w:r>
        <w:rPr>
          <w:color w:val="00000A"/>
          <w:lang w:val="fr-FR"/>
        </w:rPr>
        <w:tab/>
        <w:t>- Le soutien financier pour la location</w:t>
      </w:r>
    </w:p>
    <w:p w:rsidR="0001433F" w:rsidRDefault="00C0115D">
      <w:pPr>
        <w:pStyle w:val="Standard"/>
        <w:numPr>
          <w:ilvl w:val="0"/>
          <w:numId w:val="4"/>
        </w:numPr>
        <w:spacing w:after="27"/>
        <w:jc w:val="both"/>
        <w:rPr>
          <w:rFonts w:hint="eastAsia"/>
          <w:color w:val="00000A"/>
          <w:lang w:val="fr-FR"/>
        </w:rPr>
      </w:pPr>
      <w:r>
        <w:rPr>
          <w:color w:val="00000A"/>
          <w:lang w:val="fr-FR"/>
        </w:rPr>
        <w:t>La Croix Rouge du Togo</w:t>
      </w:r>
      <w:r>
        <w:rPr>
          <w:color w:val="00000A"/>
          <w:lang w:val="fr-FR"/>
        </w:rPr>
        <w:tab/>
      </w:r>
      <w:r>
        <w:rPr>
          <w:color w:val="00000A"/>
          <w:lang w:val="fr-FR"/>
        </w:rPr>
        <w:tab/>
        <w:t>- « </w:t>
      </w:r>
      <w:proofErr w:type="spellStart"/>
      <w:r>
        <w:rPr>
          <w:color w:val="00000A"/>
          <w:lang w:val="fr-FR"/>
        </w:rPr>
        <w:t>Forecast</w:t>
      </w:r>
      <w:proofErr w:type="spellEnd"/>
      <w:r>
        <w:rPr>
          <w:color w:val="00000A"/>
          <w:lang w:val="fr-FR"/>
        </w:rPr>
        <w:t xml:space="preserve"> </w:t>
      </w:r>
      <w:proofErr w:type="spellStart"/>
      <w:r>
        <w:rPr>
          <w:color w:val="00000A"/>
          <w:lang w:val="fr-FR"/>
        </w:rPr>
        <w:t>based</w:t>
      </w:r>
      <w:proofErr w:type="spellEnd"/>
      <w:r>
        <w:rPr>
          <w:color w:val="00000A"/>
          <w:lang w:val="fr-FR"/>
        </w:rPr>
        <w:t xml:space="preserve"> </w:t>
      </w:r>
      <w:proofErr w:type="spellStart"/>
      <w:r>
        <w:rPr>
          <w:color w:val="00000A"/>
          <w:lang w:val="fr-FR"/>
        </w:rPr>
        <w:t>financing</w:t>
      </w:r>
      <w:proofErr w:type="spellEnd"/>
      <w:r>
        <w:rPr>
          <w:color w:val="00000A"/>
          <w:lang w:val="fr-FR"/>
        </w:rPr>
        <w:t> »</w:t>
      </w:r>
    </w:p>
    <w:p w:rsidR="0001433F" w:rsidRDefault="00C0115D">
      <w:pPr>
        <w:pStyle w:val="Standard"/>
        <w:numPr>
          <w:ilvl w:val="0"/>
          <w:numId w:val="4"/>
        </w:numPr>
        <w:spacing w:after="27"/>
        <w:jc w:val="both"/>
        <w:rPr>
          <w:rFonts w:hint="eastAsia"/>
          <w:color w:val="00000A"/>
          <w:lang w:val="fr-FR"/>
        </w:rPr>
      </w:pPr>
      <w:r>
        <w:rPr>
          <w:color w:val="00000A"/>
          <w:lang w:val="fr-FR"/>
        </w:rPr>
        <w:t>La Croix Rouge de DRC</w:t>
      </w:r>
      <w:r>
        <w:rPr>
          <w:color w:val="00000A"/>
          <w:lang w:val="fr-FR"/>
        </w:rPr>
        <w:tab/>
      </w:r>
      <w:r>
        <w:rPr>
          <w:color w:val="00000A"/>
          <w:lang w:val="fr-FR"/>
        </w:rPr>
        <w:tab/>
        <w:t>- Projet urbain</w:t>
      </w:r>
    </w:p>
    <w:p w:rsidR="0001433F" w:rsidRDefault="00C0115D">
      <w:pPr>
        <w:pStyle w:val="Standard"/>
        <w:numPr>
          <w:ilvl w:val="0"/>
          <w:numId w:val="4"/>
        </w:numPr>
        <w:spacing w:after="27"/>
        <w:jc w:val="both"/>
        <w:rPr>
          <w:rFonts w:hint="eastAsia"/>
          <w:color w:val="00000A"/>
          <w:lang w:val="fr-FR"/>
        </w:rPr>
      </w:pPr>
      <w:r>
        <w:rPr>
          <w:color w:val="00000A"/>
          <w:lang w:val="fr-FR"/>
        </w:rPr>
        <w:t>La Croix Rouge du Sénégal</w:t>
      </w:r>
      <w:r>
        <w:rPr>
          <w:color w:val="00000A"/>
          <w:lang w:val="fr-FR"/>
        </w:rPr>
        <w:tab/>
      </w:r>
      <w:r>
        <w:rPr>
          <w:color w:val="00000A"/>
          <w:lang w:val="fr-FR"/>
        </w:rPr>
        <w:tab/>
        <w:t>- Le model abri type Sahel</w:t>
      </w:r>
    </w:p>
    <w:p w:rsidR="0001433F" w:rsidRDefault="00C0115D">
      <w:pPr>
        <w:pStyle w:val="Standard"/>
        <w:numPr>
          <w:ilvl w:val="0"/>
          <w:numId w:val="4"/>
        </w:numPr>
        <w:spacing w:after="27"/>
        <w:jc w:val="both"/>
        <w:rPr>
          <w:rFonts w:hint="eastAsia"/>
          <w:color w:val="00000A"/>
          <w:lang w:val="fr-FR"/>
        </w:rPr>
      </w:pPr>
      <w:r>
        <w:rPr>
          <w:color w:val="00000A"/>
          <w:lang w:val="fr-FR"/>
        </w:rPr>
        <w:t xml:space="preserve">La Croix Rouge du Tchad </w:t>
      </w:r>
      <w:r>
        <w:rPr>
          <w:color w:val="00000A"/>
          <w:lang w:val="fr-FR"/>
        </w:rPr>
        <w:tab/>
      </w:r>
      <w:r>
        <w:rPr>
          <w:color w:val="00000A"/>
          <w:lang w:val="fr-FR"/>
        </w:rPr>
        <w:tab/>
        <w:t xml:space="preserve">- Résilience dans les programmes de </w:t>
      </w:r>
      <w:r>
        <w:rPr>
          <w:color w:val="00000A"/>
          <w:lang w:val="fr-FR"/>
        </w:rPr>
        <w:tab/>
      </w:r>
      <w:r>
        <w:rPr>
          <w:color w:val="00000A"/>
          <w:lang w:val="fr-FR"/>
        </w:rPr>
        <w:tab/>
      </w:r>
      <w:r>
        <w:rPr>
          <w:color w:val="00000A"/>
          <w:lang w:val="fr-FR"/>
        </w:rPr>
        <w:tab/>
      </w:r>
      <w:r>
        <w:rPr>
          <w:color w:val="00000A"/>
          <w:lang w:val="fr-FR"/>
        </w:rPr>
        <w:tab/>
      </w:r>
      <w:r>
        <w:rPr>
          <w:color w:val="00000A"/>
          <w:lang w:val="fr-FR"/>
        </w:rPr>
        <w:tab/>
      </w:r>
      <w:r>
        <w:rPr>
          <w:color w:val="00000A"/>
          <w:lang w:val="fr-FR"/>
        </w:rPr>
        <w:tab/>
        <w:t>reconstruction</w:t>
      </w:r>
    </w:p>
    <w:p w:rsidR="0001433F" w:rsidRDefault="0001433F">
      <w:pPr>
        <w:pStyle w:val="Standard"/>
        <w:spacing w:after="27"/>
        <w:jc w:val="both"/>
        <w:rPr>
          <w:rFonts w:hint="eastAsia"/>
          <w:color w:val="00000A"/>
          <w:lang w:val="fr-FR"/>
        </w:rPr>
      </w:pPr>
    </w:p>
    <w:p w:rsidR="0001433F" w:rsidRDefault="00C0115D">
      <w:pPr>
        <w:pStyle w:val="Standard"/>
        <w:spacing w:after="27"/>
        <w:jc w:val="both"/>
        <w:rPr>
          <w:rFonts w:hint="eastAsia"/>
          <w:color w:val="00000A"/>
          <w:lang w:val="fr-FR"/>
        </w:rPr>
      </w:pPr>
      <w:r>
        <w:rPr>
          <w:color w:val="00000A"/>
          <w:lang w:val="fr-FR"/>
        </w:rPr>
        <w:t>Présentations formation Anglophone au Kenya :</w:t>
      </w:r>
    </w:p>
    <w:p w:rsidR="0001433F" w:rsidRDefault="0001433F">
      <w:pPr>
        <w:pStyle w:val="Standard"/>
        <w:spacing w:after="27"/>
        <w:jc w:val="both"/>
        <w:rPr>
          <w:rFonts w:hint="eastAsia"/>
          <w:color w:val="00000A"/>
          <w:lang w:val="fr-FR"/>
        </w:rPr>
      </w:pPr>
    </w:p>
    <w:p w:rsidR="0001433F" w:rsidRDefault="00C0115D">
      <w:pPr>
        <w:pStyle w:val="Standard"/>
        <w:numPr>
          <w:ilvl w:val="0"/>
          <w:numId w:val="4"/>
        </w:numPr>
        <w:spacing w:after="27"/>
        <w:jc w:val="both"/>
        <w:rPr>
          <w:rFonts w:hint="eastAsia"/>
          <w:color w:val="00000A"/>
          <w:lang w:val="fr-FR"/>
        </w:rPr>
      </w:pPr>
      <w:r>
        <w:rPr>
          <w:color w:val="00000A"/>
          <w:lang w:val="fr-FR"/>
        </w:rPr>
        <w:t xml:space="preserve">Le IFRC-SRU </w:t>
      </w:r>
      <w:r>
        <w:rPr>
          <w:color w:val="00000A"/>
          <w:lang w:val="fr-FR"/>
        </w:rPr>
        <w:tab/>
      </w:r>
      <w:r>
        <w:rPr>
          <w:color w:val="00000A"/>
          <w:lang w:val="fr-FR"/>
        </w:rPr>
        <w:tab/>
      </w:r>
      <w:r>
        <w:rPr>
          <w:color w:val="00000A"/>
          <w:lang w:val="fr-FR"/>
        </w:rPr>
        <w:tab/>
        <w:t>- Aides techniques et services</w:t>
      </w:r>
    </w:p>
    <w:p w:rsidR="0001433F" w:rsidRDefault="00C0115D">
      <w:pPr>
        <w:pStyle w:val="Standard"/>
        <w:numPr>
          <w:ilvl w:val="0"/>
          <w:numId w:val="4"/>
        </w:numPr>
        <w:spacing w:after="27"/>
        <w:jc w:val="both"/>
        <w:rPr>
          <w:rFonts w:hint="eastAsia"/>
          <w:color w:val="00000A"/>
          <w:lang w:val="fr-FR"/>
        </w:rPr>
      </w:pPr>
      <w:r>
        <w:rPr>
          <w:color w:val="00000A"/>
          <w:lang w:val="fr-FR"/>
        </w:rPr>
        <w:t>La Croix Rouge de Gambie</w:t>
      </w:r>
      <w:r>
        <w:rPr>
          <w:color w:val="00000A"/>
          <w:lang w:val="fr-FR"/>
        </w:rPr>
        <w:tab/>
      </w:r>
      <w:r>
        <w:rPr>
          <w:color w:val="00000A"/>
          <w:lang w:val="fr-FR"/>
        </w:rPr>
        <w:tab/>
        <w:t>- Réparation des toits</w:t>
      </w:r>
    </w:p>
    <w:p w:rsidR="0001433F" w:rsidRDefault="00C0115D">
      <w:pPr>
        <w:pStyle w:val="Standard"/>
        <w:numPr>
          <w:ilvl w:val="0"/>
          <w:numId w:val="4"/>
        </w:numPr>
        <w:spacing w:after="27"/>
        <w:jc w:val="both"/>
        <w:rPr>
          <w:rFonts w:hint="eastAsia"/>
          <w:color w:val="00000A"/>
          <w:lang w:val="fr-FR"/>
        </w:rPr>
      </w:pPr>
      <w:r>
        <w:rPr>
          <w:color w:val="00000A"/>
          <w:lang w:val="fr-FR"/>
        </w:rPr>
        <w:t>La Croix Rouge du Sierra Leone</w:t>
      </w:r>
      <w:r>
        <w:rPr>
          <w:color w:val="00000A"/>
          <w:lang w:val="fr-FR"/>
        </w:rPr>
        <w:tab/>
        <w:t>- Réponse de secours lors des inondations</w:t>
      </w:r>
    </w:p>
    <w:p w:rsidR="0001433F" w:rsidRDefault="00C0115D">
      <w:pPr>
        <w:pStyle w:val="Standard"/>
        <w:numPr>
          <w:ilvl w:val="0"/>
          <w:numId w:val="4"/>
        </w:numPr>
        <w:spacing w:after="27"/>
        <w:jc w:val="both"/>
        <w:rPr>
          <w:rFonts w:hint="eastAsia"/>
          <w:color w:val="00000A"/>
          <w:lang w:val="fr-FR"/>
        </w:rPr>
      </w:pPr>
      <w:r>
        <w:rPr>
          <w:color w:val="00000A"/>
          <w:lang w:val="fr-FR"/>
        </w:rPr>
        <w:lastRenderedPageBreak/>
        <w:t>La Croix Rouge d’Ethiopie</w:t>
      </w:r>
      <w:r>
        <w:rPr>
          <w:color w:val="00000A"/>
          <w:lang w:val="fr-FR"/>
        </w:rPr>
        <w:tab/>
      </w:r>
      <w:r>
        <w:rPr>
          <w:color w:val="00000A"/>
          <w:lang w:val="fr-FR"/>
        </w:rPr>
        <w:tab/>
        <w:t xml:space="preserve">- Aide financière pour des habitations </w:t>
      </w:r>
      <w:r>
        <w:rPr>
          <w:color w:val="00000A"/>
          <w:lang w:val="fr-FR"/>
        </w:rPr>
        <w:tab/>
      </w:r>
      <w:r>
        <w:rPr>
          <w:color w:val="00000A"/>
          <w:lang w:val="fr-FR"/>
        </w:rPr>
        <w:tab/>
      </w:r>
      <w:r>
        <w:rPr>
          <w:color w:val="00000A"/>
          <w:lang w:val="fr-FR"/>
        </w:rPr>
        <w:tab/>
      </w:r>
      <w:r>
        <w:rPr>
          <w:color w:val="00000A"/>
          <w:lang w:val="fr-FR"/>
        </w:rPr>
        <w:tab/>
      </w:r>
      <w:r>
        <w:rPr>
          <w:color w:val="00000A"/>
          <w:lang w:val="fr-FR"/>
        </w:rPr>
        <w:tab/>
      </w:r>
      <w:r>
        <w:rPr>
          <w:color w:val="00000A"/>
          <w:lang w:val="fr-FR"/>
        </w:rPr>
        <w:tab/>
        <w:t>permanentes</w:t>
      </w:r>
    </w:p>
    <w:p w:rsidR="0001433F" w:rsidRDefault="0001433F">
      <w:pPr>
        <w:pStyle w:val="Standard"/>
        <w:spacing w:after="27"/>
        <w:jc w:val="both"/>
        <w:rPr>
          <w:rFonts w:ascii="Times New Roman" w:hAnsi="Times New Roman" w:cs="Times New Roman"/>
          <w:b/>
          <w:bCs/>
          <w:i/>
          <w:iCs/>
          <w:color w:val="00000A"/>
          <w:sz w:val="32"/>
          <w:szCs w:val="32"/>
          <w:lang w:val="fr-FR"/>
        </w:rPr>
      </w:pPr>
    </w:p>
    <w:p w:rsidR="0001433F" w:rsidRDefault="0001433F">
      <w:pPr>
        <w:pStyle w:val="Standard"/>
        <w:rPr>
          <w:rFonts w:hint="eastAsia"/>
          <w:lang w:val="fr-FR"/>
        </w:rPr>
      </w:pPr>
    </w:p>
    <w:p w:rsidR="0001433F" w:rsidRPr="002F7227" w:rsidRDefault="00C0115D">
      <w:pPr>
        <w:pStyle w:val="Standard"/>
        <w:rPr>
          <w:rFonts w:ascii="HelveticaNeueLTStd-Hv" w:hAnsi="HelveticaNeueLTStd-Hv" w:hint="eastAsia"/>
          <w:color w:val="693228"/>
          <w:sz w:val="44"/>
          <w:szCs w:val="44"/>
          <w:lang w:val="fr-LU"/>
        </w:rPr>
      </w:pPr>
      <w:r w:rsidRPr="002F7227">
        <w:rPr>
          <w:rFonts w:ascii="HelveticaNeueLTStd-Hv" w:hAnsi="HelveticaNeueLTStd-Hv"/>
          <w:color w:val="693228"/>
          <w:sz w:val="44"/>
          <w:szCs w:val="44"/>
          <w:lang w:val="fr-LU"/>
        </w:rPr>
        <w:t>8. Modules de la formation</w:t>
      </w:r>
    </w:p>
    <w:p w:rsidR="0001433F" w:rsidRPr="002F7227" w:rsidRDefault="0001433F">
      <w:pPr>
        <w:pStyle w:val="Standard"/>
        <w:jc w:val="both"/>
        <w:rPr>
          <w:rFonts w:ascii="CaeciliaLTStd-LightItalic" w:hAnsi="CaeciliaLTStd-LightItalic" w:hint="eastAsia"/>
          <w:i/>
          <w:sz w:val="18"/>
          <w:szCs w:val="18"/>
          <w:lang w:val="fr-LU"/>
        </w:rPr>
      </w:pPr>
    </w:p>
    <w:p w:rsidR="0001433F" w:rsidRDefault="00C0115D">
      <w:pPr>
        <w:pStyle w:val="Standard"/>
        <w:spacing w:after="27"/>
        <w:jc w:val="both"/>
        <w:rPr>
          <w:rFonts w:ascii="Times New Roman" w:hAnsi="Times New Roman" w:cs="Times New Roman"/>
          <w:bCs/>
          <w:iCs/>
          <w:color w:val="00000A"/>
          <w:lang w:val="fr-FR"/>
        </w:rPr>
      </w:pPr>
      <w:r>
        <w:rPr>
          <w:rFonts w:ascii="Times New Roman" w:hAnsi="Times New Roman" w:cs="Times New Roman"/>
          <w:bCs/>
          <w:iCs/>
          <w:color w:val="00000A"/>
          <w:lang w:val="fr-FR"/>
        </w:rPr>
        <w:t xml:space="preserve">Les formations se sont déroulées sur 5 jours et demi, alternant des sessions théoriques, des exercices </w:t>
      </w:r>
      <w:proofErr w:type="spellStart"/>
      <w:r>
        <w:rPr>
          <w:rFonts w:ascii="Times New Roman" w:hAnsi="Times New Roman" w:cs="Times New Roman"/>
          <w:bCs/>
          <w:iCs/>
          <w:color w:val="00000A"/>
          <w:lang w:val="fr-FR"/>
        </w:rPr>
        <w:t>partiques</w:t>
      </w:r>
      <w:proofErr w:type="spellEnd"/>
      <w:r>
        <w:rPr>
          <w:rFonts w:ascii="Times New Roman" w:hAnsi="Times New Roman" w:cs="Times New Roman"/>
          <w:bCs/>
          <w:iCs/>
          <w:color w:val="00000A"/>
          <w:lang w:val="fr-FR"/>
        </w:rPr>
        <w:t xml:space="preserve"> en groupe et des évaluations des acquis.</w:t>
      </w:r>
    </w:p>
    <w:p w:rsidR="0001433F" w:rsidRDefault="0001433F">
      <w:pPr>
        <w:pStyle w:val="Standard"/>
        <w:spacing w:after="27"/>
        <w:jc w:val="both"/>
        <w:rPr>
          <w:rFonts w:ascii="Times New Roman" w:hAnsi="Times New Roman" w:cs="Times New Roman"/>
          <w:bCs/>
          <w:iCs/>
          <w:color w:val="00000A"/>
          <w:lang w:val="fr-FR"/>
        </w:rPr>
      </w:pPr>
    </w:p>
    <w:p w:rsidR="0001433F" w:rsidRDefault="00C0115D">
      <w:pPr>
        <w:pStyle w:val="Standard"/>
        <w:spacing w:after="27"/>
        <w:jc w:val="both"/>
        <w:rPr>
          <w:rFonts w:hint="eastAsia"/>
        </w:rPr>
      </w:pPr>
      <w:r>
        <w:rPr>
          <w:rFonts w:ascii="Times New Roman" w:hAnsi="Times New Roman" w:cs="Times New Roman"/>
          <w:bCs/>
          <w:iCs/>
          <w:color w:val="00000A"/>
          <w:lang w:val="fr-FR"/>
        </w:rPr>
        <w:tab/>
      </w:r>
      <w:r>
        <w:rPr>
          <w:rFonts w:ascii="Times New Roman" w:hAnsi="Times New Roman" w:cs="Times New Roman"/>
          <w:b/>
          <w:bCs/>
          <w:iCs/>
          <w:color w:val="00000A"/>
          <w:lang w:val="fr-FR"/>
        </w:rPr>
        <w:t>Jour 1 :</w:t>
      </w:r>
    </w:p>
    <w:p w:rsidR="0001433F" w:rsidRDefault="00C0115D">
      <w:pPr>
        <w:pStyle w:val="Standard"/>
        <w:numPr>
          <w:ilvl w:val="0"/>
          <w:numId w:val="4"/>
        </w:numPr>
        <w:spacing w:after="27"/>
        <w:jc w:val="both"/>
        <w:rPr>
          <w:rFonts w:ascii="Times New Roman" w:hAnsi="Times New Roman" w:cs="Times New Roman"/>
          <w:bCs/>
          <w:iCs/>
          <w:color w:val="00000A"/>
          <w:lang w:val="fr-FR"/>
        </w:rPr>
      </w:pPr>
      <w:r>
        <w:rPr>
          <w:rFonts w:ascii="Times New Roman" w:hAnsi="Times New Roman" w:cs="Times New Roman"/>
          <w:bCs/>
          <w:iCs/>
          <w:color w:val="00000A"/>
          <w:lang w:val="fr-FR"/>
        </w:rPr>
        <w:t>Ouverture de la formation</w:t>
      </w:r>
    </w:p>
    <w:p w:rsidR="0001433F" w:rsidRDefault="00C0115D">
      <w:pPr>
        <w:pStyle w:val="Standard"/>
        <w:numPr>
          <w:ilvl w:val="0"/>
          <w:numId w:val="4"/>
        </w:numPr>
        <w:spacing w:after="27"/>
        <w:jc w:val="both"/>
        <w:rPr>
          <w:rFonts w:ascii="Times New Roman" w:hAnsi="Times New Roman" w:cs="Times New Roman"/>
          <w:bCs/>
          <w:iCs/>
          <w:color w:val="00000A"/>
          <w:lang w:val="fr-FR"/>
        </w:rPr>
      </w:pPr>
      <w:r>
        <w:rPr>
          <w:rFonts w:ascii="Times New Roman" w:hAnsi="Times New Roman" w:cs="Times New Roman"/>
          <w:bCs/>
          <w:iCs/>
          <w:color w:val="00000A"/>
          <w:lang w:val="fr-FR"/>
        </w:rPr>
        <w:t>Le secteur abris et établissements humain en Afrique – introduction</w:t>
      </w:r>
    </w:p>
    <w:p w:rsidR="0001433F" w:rsidRDefault="00C0115D">
      <w:pPr>
        <w:pStyle w:val="Standard"/>
        <w:numPr>
          <w:ilvl w:val="0"/>
          <w:numId w:val="4"/>
        </w:numPr>
        <w:spacing w:after="27"/>
        <w:jc w:val="both"/>
        <w:rPr>
          <w:rFonts w:ascii="Times New Roman" w:hAnsi="Times New Roman" w:cs="Times New Roman"/>
          <w:bCs/>
          <w:iCs/>
          <w:color w:val="00000A"/>
          <w:lang w:val="fr-FR"/>
        </w:rPr>
      </w:pPr>
      <w:r>
        <w:rPr>
          <w:rFonts w:ascii="Times New Roman" w:hAnsi="Times New Roman" w:cs="Times New Roman"/>
          <w:bCs/>
          <w:iCs/>
          <w:color w:val="00000A"/>
          <w:lang w:val="fr-FR"/>
        </w:rPr>
        <w:t>Les mécanismes et outils d’intervention d’urgence de la Croix Rouge dans le secteur « Abris et Etablissements humains »</w:t>
      </w:r>
    </w:p>
    <w:p w:rsidR="0001433F" w:rsidRDefault="00C0115D">
      <w:pPr>
        <w:pStyle w:val="Standard"/>
        <w:numPr>
          <w:ilvl w:val="0"/>
          <w:numId w:val="4"/>
        </w:numPr>
        <w:spacing w:after="27"/>
        <w:jc w:val="both"/>
        <w:rPr>
          <w:rFonts w:ascii="Times New Roman" w:hAnsi="Times New Roman" w:cs="Times New Roman"/>
          <w:bCs/>
          <w:iCs/>
          <w:color w:val="00000A"/>
          <w:lang w:val="fr-FR"/>
        </w:rPr>
      </w:pPr>
      <w:r>
        <w:rPr>
          <w:rFonts w:ascii="Times New Roman" w:hAnsi="Times New Roman" w:cs="Times New Roman"/>
          <w:bCs/>
          <w:iCs/>
          <w:color w:val="00000A"/>
          <w:lang w:val="fr-FR"/>
        </w:rPr>
        <w:t>Le mécanisme du groupe sectoriel « Abris et Etablissements humains </w:t>
      </w:r>
    </w:p>
    <w:p w:rsidR="0001433F" w:rsidRDefault="0001433F">
      <w:pPr>
        <w:pStyle w:val="Standard"/>
        <w:spacing w:after="27"/>
        <w:ind w:left="720"/>
        <w:jc w:val="both"/>
        <w:rPr>
          <w:rFonts w:ascii="Times New Roman" w:hAnsi="Times New Roman" w:cs="Times New Roman"/>
          <w:bCs/>
          <w:iCs/>
          <w:color w:val="00000A"/>
          <w:lang w:val="fr-FR"/>
        </w:rPr>
      </w:pPr>
    </w:p>
    <w:p w:rsidR="0001433F" w:rsidRDefault="00C0115D">
      <w:pPr>
        <w:pStyle w:val="Standard"/>
        <w:spacing w:after="27"/>
        <w:ind w:left="720"/>
        <w:jc w:val="both"/>
        <w:rPr>
          <w:rFonts w:ascii="Times New Roman" w:hAnsi="Times New Roman" w:cs="Times New Roman"/>
          <w:b/>
          <w:bCs/>
          <w:iCs/>
          <w:color w:val="00000A"/>
          <w:lang w:val="fr-FR"/>
        </w:rPr>
      </w:pPr>
      <w:r>
        <w:rPr>
          <w:rFonts w:ascii="Times New Roman" w:hAnsi="Times New Roman" w:cs="Times New Roman"/>
          <w:b/>
          <w:bCs/>
          <w:iCs/>
          <w:color w:val="00000A"/>
          <w:lang w:val="fr-FR"/>
        </w:rPr>
        <w:t>Jour 2 :</w:t>
      </w:r>
    </w:p>
    <w:p w:rsidR="0001433F" w:rsidRDefault="00C0115D">
      <w:pPr>
        <w:pStyle w:val="Standard"/>
        <w:numPr>
          <w:ilvl w:val="0"/>
          <w:numId w:val="4"/>
        </w:numPr>
        <w:spacing w:after="27"/>
        <w:jc w:val="both"/>
        <w:rPr>
          <w:rFonts w:ascii="Times New Roman" w:hAnsi="Times New Roman" w:cs="Times New Roman"/>
          <w:bCs/>
          <w:iCs/>
          <w:color w:val="00000A"/>
          <w:lang w:val="fr-FR"/>
        </w:rPr>
      </w:pPr>
      <w:r>
        <w:rPr>
          <w:rFonts w:ascii="Times New Roman" w:hAnsi="Times New Roman" w:cs="Times New Roman"/>
          <w:bCs/>
          <w:iCs/>
          <w:color w:val="00000A"/>
          <w:lang w:val="fr-FR"/>
        </w:rPr>
        <w:t>Les méthodes et solutions d’assistance dans le secteur des abris</w:t>
      </w:r>
    </w:p>
    <w:p w:rsidR="0001433F" w:rsidRDefault="00C0115D">
      <w:pPr>
        <w:pStyle w:val="Standard"/>
        <w:numPr>
          <w:ilvl w:val="0"/>
          <w:numId w:val="4"/>
        </w:numPr>
        <w:spacing w:after="27"/>
        <w:jc w:val="both"/>
        <w:rPr>
          <w:rFonts w:ascii="Times New Roman" w:hAnsi="Times New Roman" w:cs="Times New Roman"/>
          <w:bCs/>
          <w:iCs/>
          <w:color w:val="00000A"/>
          <w:lang w:val="fr-FR"/>
        </w:rPr>
      </w:pPr>
      <w:r>
        <w:rPr>
          <w:rFonts w:ascii="Times New Roman" w:hAnsi="Times New Roman" w:cs="Times New Roman"/>
          <w:bCs/>
          <w:iCs/>
          <w:color w:val="00000A"/>
          <w:lang w:val="fr-FR"/>
        </w:rPr>
        <w:t>Les standards</w:t>
      </w:r>
    </w:p>
    <w:p w:rsidR="0001433F" w:rsidRDefault="00C0115D">
      <w:pPr>
        <w:pStyle w:val="Standard"/>
        <w:numPr>
          <w:ilvl w:val="0"/>
          <w:numId w:val="4"/>
        </w:numPr>
        <w:spacing w:after="27"/>
        <w:jc w:val="both"/>
        <w:rPr>
          <w:rFonts w:ascii="Times New Roman" w:hAnsi="Times New Roman" w:cs="Times New Roman"/>
          <w:bCs/>
          <w:iCs/>
          <w:color w:val="00000A"/>
          <w:lang w:val="fr-FR"/>
        </w:rPr>
      </w:pPr>
      <w:r>
        <w:rPr>
          <w:rFonts w:ascii="Times New Roman" w:hAnsi="Times New Roman" w:cs="Times New Roman"/>
          <w:bCs/>
          <w:iCs/>
          <w:color w:val="00000A"/>
          <w:lang w:val="fr-FR"/>
        </w:rPr>
        <w:t>Etablissements humains (déplacés/non déplacés)</w:t>
      </w:r>
    </w:p>
    <w:p w:rsidR="0001433F" w:rsidRDefault="00C0115D">
      <w:pPr>
        <w:pStyle w:val="Standard"/>
        <w:numPr>
          <w:ilvl w:val="0"/>
          <w:numId w:val="4"/>
        </w:numPr>
        <w:spacing w:after="27"/>
        <w:jc w:val="both"/>
        <w:rPr>
          <w:rFonts w:ascii="Times New Roman" w:hAnsi="Times New Roman" w:cs="Times New Roman"/>
          <w:bCs/>
          <w:iCs/>
          <w:color w:val="00000A"/>
          <w:lang w:val="fr-FR"/>
        </w:rPr>
      </w:pPr>
      <w:r>
        <w:rPr>
          <w:rFonts w:ascii="Times New Roman" w:hAnsi="Times New Roman" w:cs="Times New Roman"/>
          <w:bCs/>
          <w:iCs/>
          <w:color w:val="00000A"/>
          <w:lang w:val="fr-FR"/>
        </w:rPr>
        <w:t>La planification d’un établissement humain et de ses infrastructures</w:t>
      </w:r>
    </w:p>
    <w:p w:rsidR="0001433F" w:rsidRDefault="00C0115D">
      <w:pPr>
        <w:pStyle w:val="Standard"/>
        <w:numPr>
          <w:ilvl w:val="0"/>
          <w:numId w:val="4"/>
        </w:numPr>
        <w:spacing w:after="27"/>
        <w:jc w:val="both"/>
        <w:rPr>
          <w:rFonts w:ascii="Times New Roman" w:hAnsi="Times New Roman" w:cs="Times New Roman"/>
          <w:bCs/>
          <w:iCs/>
          <w:color w:val="00000A"/>
          <w:lang w:val="fr-FR"/>
        </w:rPr>
      </w:pPr>
      <w:r>
        <w:rPr>
          <w:rFonts w:ascii="Times New Roman" w:hAnsi="Times New Roman" w:cs="Times New Roman"/>
          <w:bCs/>
          <w:iCs/>
          <w:color w:val="00000A"/>
          <w:lang w:val="fr-FR"/>
        </w:rPr>
        <w:t>Exercice : Concevoir, implanter et construire un abri d’urgence</w:t>
      </w:r>
    </w:p>
    <w:p w:rsidR="0001433F" w:rsidRDefault="0001433F">
      <w:pPr>
        <w:pStyle w:val="Standard"/>
        <w:spacing w:after="27"/>
        <w:ind w:left="720"/>
        <w:jc w:val="both"/>
        <w:rPr>
          <w:rFonts w:ascii="Times New Roman" w:hAnsi="Times New Roman" w:cs="Times New Roman"/>
          <w:bCs/>
          <w:iCs/>
          <w:color w:val="00000A"/>
          <w:lang w:val="fr-FR"/>
        </w:rPr>
      </w:pPr>
    </w:p>
    <w:p w:rsidR="0001433F" w:rsidRDefault="00C0115D">
      <w:pPr>
        <w:pStyle w:val="Standard"/>
        <w:spacing w:after="27"/>
        <w:ind w:left="720"/>
        <w:jc w:val="both"/>
        <w:rPr>
          <w:rFonts w:ascii="Times New Roman" w:hAnsi="Times New Roman" w:cs="Times New Roman"/>
          <w:b/>
          <w:bCs/>
          <w:iCs/>
          <w:color w:val="00000A"/>
          <w:lang w:val="fr-FR"/>
        </w:rPr>
      </w:pPr>
      <w:r>
        <w:rPr>
          <w:rFonts w:ascii="Times New Roman" w:hAnsi="Times New Roman" w:cs="Times New Roman"/>
          <w:b/>
          <w:bCs/>
          <w:iCs/>
          <w:color w:val="00000A"/>
          <w:lang w:val="fr-FR"/>
        </w:rPr>
        <w:t>Jour 3 :</w:t>
      </w:r>
    </w:p>
    <w:p w:rsidR="0001433F" w:rsidRDefault="00C0115D">
      <w:pPr>
        <w:pStyle w:val="Standard"/>
        <w:numPr>
          <w:ilvl w:val="0"/>
          <w:numId w:val="4"/>
        </w:numPr>
        <w:spacing w:after="27"/>
        <w:jc w:val="both"/>
        <w:rPr>
          <w:rFonts w:ascii="Times New Roman" w:hAnsi="Times New Roman" w:cs="Times New Roman"/>
          <w:bCs/>
          <w:iCs/>
          <w:color w:val="00000A"/>
          <w:lang w:val="fr-FR"/>
        </w:rPr>
      </w:pPr>
      <w:r>
        <w:rPr>
          <w:rFonts w:ascii="Times New Roman" w:hAnsi="Times New Roman" w:cs="Times New Roman"/>
          <w:bCs/>
          <w:iCs/>
          <w:color w:val="00000A"/>
          <w:lang w:val="fr-FR"/>
        </w:rPr>
        <w:t>Les Articles non alimentaires et méthodes de distributions</w:t>
      </w:r>
    </w:p>
    <w:p w:rsidR="0001433F" w:rsidRDefault="00C0115D">
      <w:pPr>
        <w:pStyle w:val="Standard"/>
        <w:spacing w:after="27"/>
        <w:ind w:left="720"/>
        <w:jc w:val="both"/>
        <w:rPr>
          <w:rFonts w:ascii="Times New Roman" w:hAnsi="Times New Roman" w:cs="Times New Roman"/>
          <w:bCs/>
          <w:iCs/>
          <w:color w:val="00000A"/>
          <w:lang w:val="fr-FR"/>
        </w:rPr>
      </w:pPr>
      <w:r>
        <w:rPr>
          <w:rFonts w:ascii="Times New Roman" w:hAnsi="Times New Roman" w:cs="Times New Roman"/>
          <w:bCs/>
          <w:iCs/>
          <w:color w:val="00000A"/>
          <w:lang w:val="fr-FR"/>
        </w:rPr>
        <w:t>Incluant l’</w:t>
      </w:r>
      <w:proofErr w:type="spellStart"/>
      <w:r>
        <w:rPr>
          <w:rFonts w:ascii="Times New Roman" w:hAnsi="Times New Roman" w:cs="Times New Roman"/>
          <w:bCs/>
          <w:iCs/>
          <w:color w:val="00000A"/>
          <w:lang w:val="fr-FR"/>
        </w:rPr>
        <w:t>asssistance</w:t>
      </w:r>
      <w:proofErr w:type="spellEnd"/>
      <w:r>
        <w:rPr>
          <w:rFonts w:ascii="Times New Roman" w:hAnsi="Times New Roman" w:cs="Times New Roman"/>
          <w:bCs/>
          <w:iCs/>
          <w:color w:val="00000A"/>
          <w:lang w:val="fr-FR"/>
        </w:rPr>
        <w:t xml:space="preserve"> financière</w:t>
      </w:r>
    </w:p>
    <w:p w:rsidR="0001433F" w:rsidRDefault="00C0115D">
      <w:pPr>
        <w:pStyle w:val="Standard"/>
        <w:numPr>
          <w:ilvl w:val="0"/>
          <w:numId w:val="4"/>
        </w:numPr>
        <w:spacing w:after="27"/>
        <w:jc w:val="both"/>
        <w:rPr>
          <w:rFonts w:ascii="Times New Roman" w:hAnsi="Times New Roman" w:cs="Times New Roman"/>
          <w:bCs/>
          <w:iCs/>
          <w:color w:val="00000A"/>
          <w:lang w:val="fr-FR"/>
        </w:rPr>
      </w:pPr>
      <w:r>
        <w:rPr>
          <w:rFonts w:ascii="Times New Roman" w:hAnsi="Times New Roman" w:cs="Times New Roman"/>
          <w:bCs/>
          <w:iCs/>
          <w:color w:val="00000A"/>
          <w:lang w:val="fr-FR"/>
        </w:rPr>
        <w:t>Le soutien de la Logistique dans le secteur des abris</w:t>
      </w:r>
    </w:p>
    <w:p w:rsidR="0001433F" w:rsidRDefault="00C0115D">
      <w:pPr>
        <w:pStyle w:val="Standard"/>
        <w:numPr>
          <w:ilvl w:val="0"/>
          <w:numId w:val="4"/>
        </w:numPr>
        <w:spacing w:after="27"/>
        <w:jc w:val="both"/>
        <w:rPr>
          <w:rFonts w:ascii="Times New Roman" w:hAnsi="Times New Roman" w:cs="Times New Roman"/>
          <w:bCs/>
          <w:iCs/>
          <w:color w:val="00000A"/>
          <w:lang w:val="fr-FR"/>
        </w:rPr>
      </w:pPr>
      <w:r>
        <w:rPr>
          <w:rFonts w:ascii="Times New Roman" w:hAnsi="Times New Roman" w:cs="Times New Roman"/>
          <w:bCs/>
          <w:iCs/>
          <w:color w:val="00000A"/>
          <w:lang w:val="fr-FR"/>
        </w:rPr>
        <w:t xml:space="preserve">Le </w:t>
      </w:r>
      <w:proofErr w:type="spellStart"/>
      <w:r>
        <w:rPr>
          <w:rFonts w:ascii="Times New Roman" w:hAnsi="Times New Roman" w:cs="Times New Roman"/>
          <w:bCs/>
          <w:iCs/>
          <w:color w:val="00000A"/>
          <w:lang w:val="fr-FR"/>
        </w:rPr>
        <w:t>redressemenet</w:t>
      </w:r>
      <w:proofErr w:type="spellEnd"/>
      <w:r>
        <w:rPr>
          <w:rFonts w:ascii="Times New Roman" w:hAnsi="Times New Roman" w:cs="Times New Roman"/>
          <w:bCs/>
          <w:iCs/>
          <w:color w:val="00000A"/>
          <w:lang w:val="fr-FR"/>
        </w:rPr>
        <w:t xml:space="preserve"> dans le secteur du logement</w:t>
      </w:r>
    </w:p>
    <w:p w:rsidR="0001433F" w:rsidRDefault="00C0115D">
      <w:pPr>
        <w:pStyle w:val="Standard"/>
        <w:numPr>
          <w:ilvl w:val="0"/>
          <w:numId w:val="4"/>
        </w:numPr>
        <w:spacing w:after="27"/>
        <w:jc w:val="both"/>
        <w:rPr>
          <w:rFonts w:ascii="Times New Roman" w:hAnsi="Times New Roman" w:cs="Times New Roman"/>
          <w:bCs/>
          <w:iCs/>
          <w:color w:val="00000A"/>
          <w:lang w:val="fr-FR"/>
        </w:rPr>
      </w:pPr>
      <w:r>
        <w:rPr>
          <w:rFonts w:ascii="Times New Roman" w:hAnsi="Times New Roman" w:cs="Times New Roman"/>
          <w:bCs/>
          <w:iCs/>
          <w:color w:val="00000A"/>
          <w:lang w:val="fr-FR"/>
        </w:rPr>
        <w:t>Les pratiques constructives locales</w:t>
      </w:r>
    </w:p>
    <w:p w:rsidR="0001433F" w:rsidRDefault="00C0115D">
      <w:pPr>
        <w:pStyle w:val="Standard"/>
        <w:numPr>
          <w:ilvl w:val="0"/>
          <w:numId w:val="4"/>
        </w:numPr>
        <w:spacing w:after="27"/>
        <w:jc w:val="both"/>
        <w:rPr>
          <w:rFonts w:ascii="Times New Roman" w:hAnsi="Times New Roman" w:cs="Times New Roman"/>
          <w:bCs/>
          <w:iCs/>
          <w:color w:val="00000A"/>
          <w:lang w:val="fr-FR"/>
        </w:rPr>
      </w:pPr>
      <w:r>
        <w:rPr>
          <w:rFonts w:ascii="Times New Roman" w:hAnsi="Times New Roman" w:cs="Times New Roman"/>
          <w:bCs/>
          <w:iCs/>
          <w:color w:val="00000A"/>
          <w:lang w:val="fr-FR"/>
        </w:rPr>
        <w:t>Les supports techniques et pédagogiques</w:t>
      </w:r>
    </w:p>
    <w:p w:rsidR="0001433F" w:rsidRDefault="00C0115D">
      <w:pPr>
        <w:pStyle w:val="Standard"/>
        <w:numPr>
          <w:ilvl w:val="0"/>
          <w:numId w:val="4"/>
        </w:numPr>
        <w:spacing w:after="27"/>
        <w:jc w:val="both"/>
        <w:rPr>
          <w:rFonts w:ascii="Times New Roman" w:hAnsi="Times New Roman" w:cs="Times New Roman"/>
          <w:bCs/>
          <w:iCs/>
          <w:color w:val="00000A"/>
          <w:lang w:val="fr-FR"/>
        </w:rPr>
      </w:pPr>
      <w:r>
        <w:rPr>
          <w:rFonts w:ascii="Times New Roman" w:hAnsi="Times New Roman" w:cs="Times New Roman"/>
          <w:bCs/>
          <w:iCs/>
          <w:color w:val="00000A"/>
          <w:lang w:val="fr-FR"/>
        </w:rPr>
        <w:t>Exercice : concevoir un support technique pédagogique</w:t>
      </w:r>
    </w:p>
    <w:p w:rsidR="0001433F" w:rsidRDefault="0001433F">
      <w:pPr>
        <w:pStyle w:val="Standard"/>
        <w:spacing w:after="27"/>
        <w:ind w:left="720"/>
        <w:jc w:val="both"/>
        <w:rPr>
          <w:rFonts w:ascii="Times New Roman" w:hAnsi="Times New Roman" w:cs="Times New Roman"/>
          <w:bCs/>
          <w:iCs/>
          <w:color w:val="00000A"/>
          <w:lang w:val="fr-FR"/>
        </w:rPr>
      </w:pPr>
    </w:p>
    <w:p w:rsidR="0001433F" w:rsidRDefault="00C0115D">
      <w:pPr>
        <w:pStyle w:val="Standard"/>
        <w:spacing w:after="27"/>
        <w:ind w:left="720"/>
        <w:jc w:val="both"/>
        <w:rPr>
          <w:rFonts w:ascii="Times New Roman" w:hAnsi="Times New Roman" w:cs="Times New Roman"/>
          <w:b/>
          <w:bCs/>
          <w:iCs/>
          <w:color w:val="00000A"/>
          <w:lang w:val="fr-FR"/>
        </w:rPr>
      </w:pPr>
      <w:r>
        <w:rPr>
          <w:rFonts w:ascii="Times New Roman" w:hAnsi="Times New Roman" w:cs="Times New Roman"/>
          <w:b/>
          <w:bCs/>
          <w:iCs/>
          <w:color w:val="00000A"/>
          <w:lang w:val="fr-FR"/>
        </w:rPr>
        <w:t>Jour 4 :</w:t>
      </w:r>
    </w:p>
    <w:p w:rsidR="0001433F" w:rsidRDefault="00C0115D">
      <w:pPr>
        <w:pStyle w:val="Standard"/>
        <w:numPr>
          <w:ilvl w:val="0"/>
          <w:numId w:val="4"/>
        </w:numPr>
        <w:spacing w:after="27"/>
        <w:jc w:val="both"/>
        <w:rPr>
          <w:rFonts w:ascii="Times New Roman" w:hAnsi="Times New Roman" w:cs="Times New Roman"/>
          <w:bCs/>
          <w:iCs/>
          <w:color w:val="00000A"/>
          <w:lang w:val="fr-FR"/>
        </w:rPr>
      </w:pPr>
      <w:r>
        <w:rPr>
          <w:rFonts w:ascii="Times New Roman" w:hAnsi="Times New Roman" w:cs="Times New Roman"/>
          <w:bCs/>
          <w:iCs/>
          <w:color w:val="00000A"/>
          <w:lang w:val="fr-FR"/>
        </w:rPr>
        <w:t>Les vulnérabilités incluant les personnes avec mobilité réduite</w:t>
      </w:r>
    </w:p>
    <w:p w:rsidR="0001433F" w:rsidRDefault="00C0115D">
      <w:pPr>
        <w:pStyle w:val="Standard"/>
        <w:numPr>
          <w:ilvl w:val="0"/>
          <w:numId w:val="4"/>
        </w:numPr>
        <w:spacing w:after="27"/>
        <w:jc w:val="both"/>
        <w:rPr>
          <w:rFonts w:ascii="Times New Roman" w:hAnsi="Times New Roman" w:cs="Times New Roman"/>
          <w:bCs/>
          <w:iCs/>
          <w:color w:val="00000A"/>
          <w:lang w:val="fr-FR"/>
        </w:rPr>
      </w:pPr>
      <w:r>
        <w:rPr>
          <w:rFonts w:ascii="Times New Roman" w:hAnsi="Times New Roman" w:cs="Times New Roman"/>
          <w:bCs/>
          <w:iCs/>
          <w:color w:val="00000A"/>
          <w:lang w:val="fr-FR"/>
        </w:rPr>
        <w:t>La coordination avec les autres secteurs</w:t>
      </w:r>
    </w:p>
    <w:p w:rsidR="0001433F" w:rsidRDefault="00C0115D">
      <w:pPr>
        <w:pStyle w:val="Standard"/>
        <w:numPr>
          <w:ilvl w:val="0"/>
          <w:numId w:val="4"/>
        </w:numPr>
        <w:spacing w:after="27"/>
        <w:jc w:val="both"/>
        <w:rPr>
          <w:rFonts w:ascii="Times New Roman" w:hAnsi="Times New Roman" w:cs="Times New Roman"/>
          <w:bCs/>
          <w:iCs/>
          <w:color w:val="00000A"/>
          <w:lang w:val="fr-FR"/>
        </w:rPr>
      </w:pPr>
      <w:r>
        <w:rPr>
          <w:rFonts w:ascii="Times New Roman" w:hAnsi="Times New Roman" w:cs="Times New Roman"/>
          <w:bCs/>
          <w:iCs/>
          <w:color w:val="00000A"/>
          <w:lang w:val="fr-FR"/>
        </w:rPr>
        <w:t>L’évaluation des dommages et des besoins</w:t>
      </w:r>
    </w:p>
    <w:p w:rsidR="0001433F" w:rsidRDefault="00C0115D">
      <w:pPr>
        <w:pStyle w:val="Standard"/>
        <w:numPr>
          <w:ilvl w:val="0"/>
          <w:numId w:val="4"/>
        </w:numPr>
        <w:spacing w:after="27"/>
        <w:jc w:val="both"/>
        <w:rPr>
          <w:rFonts w:ascii="Times New Roman" w:hAnsi="Times New Roman" w:cs="Times New Roman"/>
          <w:bCs/>
          <w:iCs/>
          <w:color w:val="00000A"/>
          <w:lang w:val="fr-FR"/>
        </w:rPr>
      </w:pPr>
      <w:r>
        <w:rPr>
          <w:rFonts w:ascii="Times New Roman" w:hAnsi="Times New Roman" w:cs="Times New Roman"/>
          <w:bCs/>
          <w:iCs/>
          <w:color w:val="00000A"/>
          <w:lang w:val="fr-FR"/>
        </w:rPr>
        <w:t>L’identification des bénéficiaires et l’engagement de la communauté</w:t>
      </w:r>
    </w:p>
    <w:p w:rsidR="0001433F" w:rsidRDefault="00C0115D">
      <w:pPr>
        <w:pStyle w:val="Standard"/>
        <w:numPr>
          <w:ilvl w:val="0"/>
          <w:numId w:val="4"/>
        </w:numPr>
        <w:spacing w:after="27"/>
        <w:jc w:val="both"/>
        <w:rPr>
          <w:rFonts w:ascii="Times New Roman" w:hAnsi="Times New Roman" w:cs="Times New Roman"/>
          <w:bCs/>
          <w:iCs/>
          <w:color w:val="00000A"/>
          <w:lang w:val="fr-FR"/>
        </w:rPr>
      </w:pPr>
      <w:r>
        <w:rPr>
          <w:rFonts w:ascii="Times New Roman" w:hAnsi="Times New Roman" w:cs="Times New Roman"/>
          <w:bCs/>
          <w:iCs/>
          <w:color w:val="00000A"/>
          <w:lang w:val="fr-FR"/>
        </w:rPr>
        <w:t>Travailler en milieu urbain</w:t>
      </w:r>
    </w:p>
    <w:p w:rsidR="0001433F" w:rsidRDefault="00C0115D">
      <w:pPr>
        <w:pStyle w:val="Standard"/>
        <w:numPr>
          <w:ilvl w:val="0"/>
          <w:numId w:val="4"/>
        </w:numPr>
        <w:spacing w:after="27"/>
        <w:jc w:val="both"/>
        <w:rPr>
          <w:rFonts w:ascii="Times New Roman" w:hAnsi="Times New Roman" w:cs="Times New Roman"/>
          <w:bCs/>
          <w:iCs/>
          <w:color w:val="00000A"/>
          <w:lang w:val="fr-FR"/>
        </w:rPr>
      </w:pPr>
      <w:r>
        <w:rPr>
          <w:rFonts w:ascii="Times New Roman" w:hAnsi="Times New Roman" w:cs="Times New Roman"/>
          <w:bCs/>
          <w:iCs/>
          <w:color w:val="00000A"/>
          <w:lang w:val="fr-FR"/>
        </w:rPr>
        <w:t>L’approche participative sur la sécurité au logement (PASSA)</w:t>
      </w:r>
    </w:p>
    <w:p w:rsidR="0001433F" w:rsidRDefault="0001433F">
      <w:pPr>
        <w:pStyle w:val="Standard"/>
        <w:spacing w:after="27"/>
        <w:ind w:left="720"/>
        <w:jc w:val="both"/>
        <w:rPr>
          <w:rFonts w:ascii="Times New Roman" w:hAnsi="Times New Roman" w:cs="Times New Roman"/>
          <w:bCs/>
          <w:iCs/>
          <w:color w:val="00000A"/>
          <w:lang w:val="fr-FR"/>
        </w:rPr>
      </w:pPr>
    </w:p>
    <w:p w:rsidR="0001433F" w:rsidRDefault="00C0115D">
      <w:pPr>
        <w:pStyle w:val="Standard"/>
        <w:spacing w:after="27"/>
        <w:ind w:left="720"/>
        <w:jc w:val="both"/>
        <w:rPr>
          <w:rFonts w:ascii="Times New Roman" w:hAnsi="Times New Roman" w:cs="Times New Roman"/>
          <w:b/>
          <w:bCs/>
          <w:iCs/>
          <w:color w:val="00000A"/>
          <w:lang w:val="fr-FR"/>
        </w:rPr>
      </w:pPr>
      <w:r>
        <w:rPr>
          <w:rFonts w:ascii="Times New Roman" w:hAnsi="Times New Roman" w:cs="Times New Roman"/>
          <w:b/>
          <w:bCs/>
          <w:iCs/>
          <w:color w:val="00000A"/>
          <w:lang w:val="fr-FR"/>
        </w:rPr>
        <w:t>Jour 5 :</w:t>
      </w:r>
    </w:p>
    <w:p w:rsidR="0001433F" w:rsidRDefault="00C0115D">
      <w:pPr>
        <w:pStyle w:val="Standard"/>
        <w:numPr>
          <w:ilvl w:val="0"/>
          <w:numId w:val="4"/>
        </w:numPr>
        <w:spacing w:after="27"/>
        <w:jc w:val="both"/>
        <w:rPr>
          <w:rFonts w:ascii="Times New Roman" w:hAnsi="Times New Roman" w:cs="Times New Roman"/>
          <w:bCs/>
          <w:iCs/>
          <w:color w:val="00000A"/>
          <w:lang w:val="fr-FR"/>
        </w:rPr>
      </w:pPr>
      <w:r>
        <w:rPr>
          <w:rFonts w:ascii="Times New Roman" w:hAnsi="Times New Roman" w:cs="Times New Roman"/>
          <w:bCs/>
          <w:iCs/>
          <w:color w:val="00000A"/>
          <w:lang w:val="fr-FR"/>
        </w:rPr>
        <w:t>Elaborer une stratégie et un plan d’action</w:t>
      </w:r>
    </w:p>
    <w:p w:rsidR="0001433F" w:rsidRDefault="00C0115D">
      <w:pPr>
        <w:pStyle w:val="Standard"/>
        <w:numPr>
          <w:ilvl w:val="0"/>
          <w:numId w:val="4"/>
        </w:numPr>
        <w:spacing w:after="27"/>
        <w:jc w:val="both"/>
        <w:rPr>
          <w:rFonts w:ascii="Times New Roman" w:hAnsi="Times New Roman" w:cs="Times New Roman"/>
          <w:bCs/>
          <w:iCs/>
          <w:color w:val="00000A"/>
          <w:lang w:val="fr-FR"/>
        </w:rPr>
      </w:pPr>
      <w:r>
        <w:rPr>
          <w:rFonts w:ascii="Times New Roman" w:hAnsi="Times New Roman" w:cs="Times New Roman"/>
          <w:bCs/>
          <w:iCs/>
          <w:color w:val="00000A"/>
          <w:lang w:val="fr-FR"/>
        </w:rPr>
        <w:t xml:space="preserve">Suivi, responsabilisation et </w:t>
      </w:r>
      <w:proofErr w:type="spellStart"/>
      <w:r>
        <w:rPr>
          <w:rFonts w:ascii="Times New Roman" w:hAnsi="Times New Roman" w:cs="Times New Roman"/>
          <w:bCs/>
          <w:iCs/>
          <w:color w:val="00000A"/>
          <w:lang w:val="fr-FR"/>
        </w:rPr>
        <w:t>lecon</w:t>
      </w:r>
      <w:proofErr w:type="spellEnd"/>
      <w:r>
        <w:rPr>
          <w:rFonts w:ascii="Times New Roman" w:hAnsi="Times New Roman" w:cs="Times New Roman"/>
          <w:bCs/>
          <w:iCs/>
          <w:color w:val="00000A"/>
          <w:lang w:val="fr-FR"/>
        </w:rPr>
        <w:t xml:space="preserve"> apprise</w:t>
      </w:r>
    </w:p>
    <w:p w:rsidR="0001433F" w:rsidRDefault="00C0115D">
      <w:pPr>
        <w:pStyle w:val="Standard"/>
        <w:numPr>
          <w:ilvl w:val="0"/>
          <w:numId w:val="4"/>
        </w:numPr>
        <w:spacing w:after="27"/>
        <w:jc w:val="both"/>
        <w:rPr>
          <w:rFonts w:ascii="Times New Roman" w:hAnsi="Times New Roman" w:cs="Times New Roman"/>
          <w:bCs/>
          <w:iCs/>
          <w:color w:val="00000A"/>
          <w:lang w:val="fr-FR"/>
        </w:rPr>
      </w:pPr>
      <w:r>
        <w:rPr>
          <w:rFonts w:ascii="Times New Roman" w:hAnsi="Times New Roman" w:cs="Times New Roman"/>
          <w:bCs/>
          <w:iCs/>
          <w:color w:val="00000A"/>
          <w:lang w:val="fr-FR"/>
        </w:rPr>
        <w:t>Le plan d’action</w:t>
      </w:r>
    </w:p>
    <w:p w:rsidR="0001433F" w:rsidRDefault="00C0115D">
      <w:pPr>
        <w:pStyle w:val="Standard"/>
        <w:numPr>
          <w:ilvl w:val="0"/>
          <w:numId w:val="4"/>
        </w:numPr>
        <w:spacing w:after="27"/>
        <w:jc w:val="both"/>
        <w:rPr>
          <w:rFonts w:ascii="Times New Roman" w:hAnsi="Times New Roman" w:cs="Times New Roman"/>
          <w:bCs/>
          <w:iCs/>
          <w:color w:val="00000A"/>
          <w:lang w:val="fr-FR"/>
        </w:rPr>
      </w:pPr>
      <w:r>
        <w:rPr>
          <w:rFonts w:ascii="Times New Roman" w:hAnsi="Times New Roman" w:cs="Times New Roman"/>
          <w:bCs/>
          <w:iCs/>
          <w:color w:val="00000A"/>
          <w:lang w:val="fr-FR"/>
        </w:rPr>
        <w:t>Exercice : établir un plan d’action</w:t>
      </w:r>
    </w:p>
    <w:p w:rsidR="0001433F" w:rsidRDefault="0001433F">
      <w:pPr>
        <w:pStyle w:val="Standard"/>
        <w:spacing w:after="27"/>
        <w:ind w:left="720"/>
        <w:jc w:val="both"/>
        <w:rPr>
          <w:rFonts w:ascii="Times New Roman" w:hAnsi="Times New Roman" w:cs="Times New Roman"/>
          <w:bCs/>
          <w:iCs/>
          <w:color w:val="00000A"/>
          <w:lang w:val="fr-FR"/>
        </w:rPr>
      </w:pPr>
    </w:p>
    <w:p w:rsidR="0001433F" w:rsidRDefault="00C0115D">
      <w:pPr>
        <w:pStyle w:val="Standard"/>
        <w:spacing w:after="27"/>
        <w:ind w:left="720"/>
        <w:jc w:val="both"/>
        <w:rPr>
          <w:rFonts w:ascii="Times New Roman" w:hAnsi="Times New Roman" w:cs="Times New Roman"/>
          <w:b/>
          <w:bCs/>
          <w:iCs/>
          <w:color w:val="00000A"/>
          <w:lang w:val="fr-FR"/>
        </w:rPr>
      </w:pPr>
      <w:r>
        <w:rPr>
          <w:rFonts w:ascii="Times New Roman" w:hAnsi="Times New Roman" w:cs="Times New Roman"/>
          <w:b/>
          <w:bCs/>
          <w:iCs/>
          <w:color w:val="00000A"/>
          <w:lang w:val="fr-FR"/>
        </w:rPr>
        <w:t>Jour 6 :</w:t>
      </w:r>
    </w:p>
    <w:p w:rsidR="0001433F" w:rsidRDefault="00C0115D">
      <w:pPr>
        <w:pStyle w:val="Standard"/>
        <w:numPr>
          <w:ilvl w:val="0"/>
          <w:numId w:val="4"/>
        </w:numPr>
        <w:spacing w:after="27"/>
        <w:jc w:val="both"/>
        <w:rPr>
          <w:rFonts w:ascii="Times New Roman" w:hAnsi="Times New Roman" w:cs="Times New Roman"/>
          <w:bCs/>
          <w:iCs/>
          <w:color w:val="00000A"/>
          <w:lang w:val="fr-FR"/>
        </w:rPr>
      </w:pPr>
      <w:r>
        <w:rPr>
          <w:rFonts w:ascii="Times New Roman" w:hAnsi="Times New Roman" w:cs="Times New Roman"/>
          <w:bCs/>
          <w:iCs/>
          <w:color w:val="00000A"/>
          <w:lang w:val="fr-FR"/>
        </w:rPr>
        <w:lastRenderedPageBreak/>
        <w:t>Restitution des plans d’action</w:t>
      </w:r>
    </w:p>
    <w:p w:rsidR="0001433F" w:rsidRDefault="00C0115D">
      <w:pPr>
        <w:pStyle w:val="Standard"/>
        <w:numPr>
          <w:ilvl w:val="0"/>
          <w:numId w:val="4"/>
        </w:numPr>
        <w:spacing w:after="27"/>
        <w:jc w:val="both"/>
        <w:rPr>
          <w:rFonts w:ascii="Times New Roman" w:hAnsi="Times New Roman" w:cs="Times New Roman"/>
          <w:bCs/>
          <w:iCs/>
          <w:color w:val="00000A"/>
          <w:lang w:val="fr-FR"/>
        </w:rPr>
      </w:pPr>
      <w:r>
        <w:rPr>
          <w:rFonts w:ascii="Times New Roman" w:hAnsi="Times New Roman" w:cs="Times New Roman"/>
          <w:bCs/>
          <w:iCs/>
          <w:color w:val="00000A"/>
          <w:lang w:val="fr-FR"/>
        </w:rPr>
        <w:t>Partage d’expériences</w:t>
      </w:r>
    </w:p>
    <w:p w:rsidR="0001433F" w:rsidRDefault="00C0115D">
      <w:pPr>
        <w:pStyle w:val="Standard"/>
        <w:numPr>
          <w:ilvl w:val="0"/>
          <w:numId w:val="4"/>
        </w:numPr>
        <w:spacing w:after="27"/>
        <w:jc w:val="both"/>
        <w:rPr>
          <w:rFonts w:ascii="Times New Roman" w:hAnsi="Times New Roman" w:cs="Times New Roman"/>
          <w:bCs/>
          <w:iCs/>
          <w:color w:val="00000A"/>
          <w:lang w:val="fr-FR"/>
        </w:rPr>
      </w:pPr>
      <w:r>
        <w:rPr>
          <w:rFonts w:ascii="Times New Roman" w:hAnsi="Times New Roman" w:cs="Times New Roman"/>
          <w:bCs/>
          <w:iCs/>
          <w:color w:val="00000A"/>
          <w:lang w:val="fr-FR"/>
        </w:rPr>
        <w:t>Contrôle de connaissance</w:t>
      </w:r>
    </w:p>
    <w:p w:rsidR="0001433F" w:rsidRDefault="00C0115D">
      <w:pPr>
        <w:pStyle w:val="Standard"/>
        <w:numPr>
          <w:ilvl w:val="0"/>
          <w:numId w:val="4"/>
        </w:numPr>
        <w:spacing w:after="27"/>
        <w:jc w:val="both"/>
        <w:rPr>
          <w:rFonts w:ascii="Times New Roman" w:hAnsi="Times New Roman" w:cs="Times New Roman"/>
          <w:bCs/>
          <w:iCs/>
          <w:color w:val="00000A"/>
          <w:lang w:val="fr-FR"/>
        </w:rPr>
      </w:pPr>
      <w:r>
        <w:rPr>
          <w:rFonts w:ascii="Times New Roman" w:hAnsi="Times New Roman" w:cs="Times New Roman"/>
          <w:bCs/>
          <w:iCs/>
          <w:color w:val="00000A"/>
          <w:lang w:val="fr-FR"/>
        </w:rPr>
        <w:t>Les prochaines étapes</w:t>
      </w:r>
    </w:p>
    <w:p w:rsidR="0001433F" w:rsidRDefault="00C0115D">
      <w:pPr>
        <w:pStyle w:val="Standard"/>
        <w:numPr>
          <w:ilvl w:val="0"/>
          <w:numId w:val="4"/>
        </w:numPr>
        <w:spacing w:after="27"/>
        <w:jc w:val="both"/>
        <w:rPr>
          <w:rFonts w:ascii="Times New Roman" w:hAnsi="Times New Roman" w:cs="Times New Roman"/>
          <w:bCs/>
          <w:iCs/>
          <w:color w:val="00000A"/>
          <w:lang w:val="fr-FR"/>
        </w:rPr>
      </w:pPr>
      <w:r>
        <w:rPr>
          <w:rFonts w:ascii="Times New Roman" w:hAnsi="Times New Roman" w:cs="Times New Roman"/>
          <w:bCs/>
          <w:iCs/>
          <w:color w:val="00000A"/>
          <w:lang w:val="fr-FR"/>
        </w:rPr>
        <w:t>Evaluation individuelles</w:t>
      </w:r>
    </w:p>
    <w:p w:rsidR="0001433F" w:rsidRDefault="00C0115D">
      <w:pPr>
        <w:pStyle w:val="Standard"/>
        <w:numPr>
          <w:ilvl w:val="0"/>
          <w:numId w:val="4"/>
        </w:numPr>
        <w:spacing w:after="27"/>
        <w:jc w:val="both"/>
        <w:rPr>
          <w:rFonts w:ascii="Times New Roman" w:hAnsi="Times New Roman" w:cs="Times New Roman"/>
          <w:bCs/>
          <w:iCs/>
          <w:color w:val="00000A"/>
          <w:lang w:val="fr-FR"/>
        </w:rPr>
      </w:pPr>
      <w:proofErr w:type="spellStart"/>
      <w:r>
        <w:rPr>
          <w:rFonts w:ascii="Times New Roman" w:hAnsi="Times New Roman" w:cs="Times New Roman"/>
          <w:bCs/>
          <w:iCs/>
          <w:color w:val="00000A"/>
          <w:lang w:val="fr-FR"/>
        </w:rPr>
        <w:t>Cloture</w:t>
      </w:r>
      <w:proofErr w:type="spellEnd"/>
      <w:r>
        <w:rPr>
          <w:rFonts w:ascii="Times New Roman" w:hAnsi="Times New Roman" w:cs="Times New Roman"/>
          <w:bCs/>
          <w:iCs/>
          <w:color w:val="00000A"/>
          <w:lang w:val="fr-FR"/>
        </w:rPr>
        <w:t xml:space="preserve"> de la formation et remise des certificats</w:t>
      </w:r>
    </w:p>
    <w:p w:rsidR="0001433F" w:rsidRDefault="0001433F">
      <w:pPr>
        <w:pStyle w:val="Standard"/>
        <w:spacing w:after="27"/>
        <w:ind w:left="720"/>
        <w:jc w:val="both"/>
        <w:rPr>
          <w:rFonts w:ascii="Times New Roman" w:hAnsi="Times New Roman" w:cs="Times New Roman"/>
          <w:bCs/>
          <w:iCs/>
          <w:color w:val="00000A"/>
          <w:lang w:val="fr-FR"/>
        </w:rPr>
      </w:pPr>
    </w:p>
    <w:p w:rsidR="0001433F" w:rsidRDefault="00C0115D">
      <w:pPr>
        <w:pStyle w:val="Standard"/>
        <w:spacing w:after="27"/>
        <w:ind w:left="720"/>
        <w:jc w:val="both"/>
        <w:rPr>
          <w:rFonts w:ascii="Times New Roman" w:hAnsi="Times New Roman" w:cs="Times New Roman"/>
          <w:bCs/>
          <w:iCs/>
          <w:color w:val="00000A"/>
          <w:lang w:val="fr-FR"/>
        </w:rPr>
      </w:pPr>
      <w:r>
        <w:rPr>
          <w:rFonts w:ascii="Times New Roman" w:hAnsi="Times New Roman" w:cs="Times New Roman"/>
          <w:bCs/>
          <w:iCs/>
          <w:color w:val="00000A"/>
          <w:lang w:val="fr-FR"/>
        </w:rPr>
        <w:t xml:space="preserve">Chaque journée débutée par le résumé de la journée précédente et se </w:t>
      </w:r>
      <w:proofErr w:type="spellStart"/>
      <w:r>
        <w:rPr>
          <w:rFonts w:ascii="Times New Roman" w:hAnsi="Times New Roman" w:cs="Times New Roman"/>
          <w:bCs/>
          <w:iCs/>
          <w:color w:val="00000A"/>
          <w:lang w:val="fr-FR"/>
        </w:rPr>
        <w:t>cloturée</w:t>
      </w:r>
      <w:proofErr w:type="spellEnd"/>
      <w:r>
        <w:rPr>
          <w:rFonts w:ascii="Times New Roman" w:hAnsi="Times New Roman" w:cs="Times New Roman"/>
          <w:bCs/>
          <w:iCs/>
          <w:color w:val="00000A"/>
          <w:lang w:val="fr-FR"/>
        </w:rPr>
        <w:t xml:space="preserve"> par un évaluation écrite anonyme de la journée. Des cessions de partage d’expériences avaient lieu en soirée après le diner.</w:t>
      </w:r>
    </w:p>
    <w:p w:rsidR="0001433F" w:rsidRDefault="00C0115D">
      <w:pPr>
        <w:pStyle w:val="Standard"/>
        <w:spacing w:after="27"/>
        <w:ind w:left="720"/>
        <w:jc w:val="both"/>
        <w:rPr>
          <w:rFonts w:hint="eastAsia"/>
          <w:color w:val="00000A"/>
          <w:lang w:val="fr-FR"/>
        </w:rPr>
      </w:pPr>
      <w:r>
        <w:rPr>
          <w:color w:val="00000A"/>
          <w:lang w:val="fr-FR"/>
        </w:rPr>
        <w:t xml:space="preserve"> </w:t>
      </w:r>
    </w:p>
    <w:p w:rsidR="0001433F" w:rsidRDefault="0001433F">
      <w:pPr>
        <w:pStyle w:val="Standard"/>
        <w:spacing w:after="27"/>
        <w:jc w:val="both"/>
        <w:rPr>
          <w:rFonts w:hint="eastAsia"/>
          <w:color w:val="00000A"/>
          <w:lang w:val="fr-FR"/>
        </w:rPr>
      </w:pPr>
    </w:p>
    <w:p w:rsidR="0001433F" w:rsidRDefault="00C0115D">
      <w:pPr>
        <w:pStyle w:val="Standard"/>
        <w:rPr>
          <w:rFonts w:ascii="HelveticaNeueLTStd-Hv" w:hAnsi="HelveticaNeueLTStd-Hv" w:hint="eastAsia"/>
          <w:color w:val="693228"/>
          <w:sz w:val="44"/>
          <w:szCs w:val="44"/>
          <w:lang w:val="fr-CH"/>
        </w:rPr>
      </w:pPr>
      <w:r>
        <w:rPr>
          <w:rFonts w:ascii="HelveticaNeueLTStd-Hv" w:hAnsi="HelveticaNeueLTStd-Hv"/>
          <w:color w:val="693228"/>
          <w:sz w:val="44"/>
          <w:szCs w:val="44"/>
          <w:lang w:val="fr-CH"/>
        </w:rPr>
        <w:t>9. Résultats attendus</w:t>
      </w:r>
    </w:p>
    <w:p w:rsidR="0001433F" w:rsidRDefault="0001433F">
      <w:pPr>
        <w:pStyle w:val="Standard"/>
        <w:rPr>
          <w:rFonts w:ascii="HelveticaNeueLTStd-Hv" w:hAnsi="HelveticaNeueLTStd-Hv" w:hint="eastAsia"/>
          <w:color w:val="693228"/>
          <w:sz w:val="44"/>
          <w:szCs w:val="44"/>
          <w:lang w:val="fr-CH"/>
        </w:rPr>
      </w:pPr>
    </w:p>
    <w:p w:rsidR="0001433F" w:rsidRDefault="00C0115D">
      <w:pPr>
        <w:pStyle w:val="Standard"/>
        <w:spacing w:after="27"/>
        <w:jc w:val="both"/>
        <w:rPr>
          <w:rFonts w:hint="eastAsia"/>
          <w:color w:val="00000A"/>
          <w:lang w:val="fr-FR"/>
        </w:rPr>
      </w:pPr>
      <w:r>
        <w:rPr>
          <w:color w:val="00000A"/>
          <w:lang w:val="fr-FR"/>
        </w:rPr>
        <w:t xml:space="preserve">L’équipe de facilitateurs à </w:t>
      </w:r>
      <w:r w:rsidR="002F7227">
        <w:rPr>
          <w:color w:val="00000A"/>
          <w:lang w:val="fr-FR"/>
        </w:rPr>
        <w:t>évalue</w:t>
      </w:r>
      <w:r w:rsidR="002F7227">
        <w:rPr>
          <w:rFonts w:hint="eastAsia"/>
          <w:color w:val="00000A"/>
          <w:lang w:val="fr-FR"/>
        </w:rPr>
        <w:t>r</w:t>
      </w:r>
      <w:bookmarkStart w:id="0" w:name="_GoBack"/>
      <w:bookmarkEnd w:id="0"/>
      <w:r>
        <w:rPr>
          <w:color w:val="00000A"/>
          <w:lang w:val="fr-FR"/>
        </w:rPr>
        <w:t xml:space="preserve"> les participants selon la méthodologie suivante : Individuellement au cours de la semaine de formation, à travers l’analyse d’un test écrit et lors d’un entretien oral individuel en fin de formation.</w:t>
      </w:r>
    </w:p>
    <w:p w:rsidR="0001433F" w:rsidRDefault="0001433F">
      <w:pPr>
        <w:pStyle w:val="Standard"/>
        <w:spacing w:after="27"/>
        <w:jc w:val="both"/>
        <w:rPr>
          <w:rFonts w:hint="eastAsia"/>
          <w:color w:val="00000A"/>
          <w:lang w:val="fr-FR"/>
        </w:rPr>
      </w:pPr>
    </w:p>
    <w:p w:rsidR="0001433F" w:rsidRDefault="00C0115D">
      <w:pPr>
        <w:pStyle w:val="Standard"/>
        <w:spacing w:after="27"/>
        <w:jc w:val="both"/>
        <w:rPr>
          <w:rFonts w:hint="eastAsia"/>
          <w:color w:val="00000A"/>
          <w:lang w:val="fr-FR"/>
        </w:rPr>
      </w:pPr>
      <w:r>
        <w:rPr>
          <w:color w:val="00000A"/>
          <w:lang w:val="fr-FR"/>
        </w:rPr>
        <w:t>Les évaluations journalières, le test de fin de formation et les entretiens individuels ont permis d’évaluer les capacités de chaque participant afin de cerner leurs aptitudes à soutenir leur Société Nationale dans le secteur, voir à être déployé pour aider des Sociétés Nationales de la Région si besoin. Les participants font désormais partie du « </w:t>
      </w:r>
      <w:proofErr w:type="spellStart"/>
      <w:r>
        <w:rPr>
          <w:color w:val="00000A"/>
          <w:lang w:val="fr-FR"/>
        </w:rPr>
        <w:t>Surge</w:t>
      </w:r>
      <w:proofErr w:type="spellEnd"/>
      <w:r>
        <w:rPr>
          <w:color w:val="00000A"/>
          <w:lang w:val="fr-FR"/>
        </w:rPr>
        <w:t xml:space="preserve"> Compétence Framework » établi par le FICR, qui se base les compétences individuelles.  </w:t>
      </w:r>
    </w:p>
    <w:p w:rsidR="0001433F" w:rsidRDefault="0001433F">
      <w:pPr>
        <w:pStyle w:val="Standard"/>
        <w:spacing w:after="27"/>
        <w:jc w:val="both"/>
        <w:rPr>
          <w:rFonts w:hint="eastAsia"/>
          <w:color w:val="00000A"/>
          <w:lang w:val="fr-FR"/>
        </w:rPr>
      </w:pPr>
    </w:p>
    <w:p w:rsidR="0001433F" w:rsidRDefault="00C0115D">
      <w:pPr>
        <w:pStyle w:val="Standard"/>
        <w:spacing w:after="27"/>
        <w:jc w:val="both"/>
        <w:rPr>
          <w:rFonts w:hint="eastAsia"/>
          <w:color w:val="00000A"/>
          <w:lang w:val="fr-FR"/>
        </w:rPr>
      </w:pPr>
      <w:r>
        <w:rPr>
          <w:color w:val="00000A"/>
          <w:lang w:val="fr-FR"/>
        </w:rPr>
        <w:t>Les critères d’évaluation utilisés par le FICR-SRU ont permis de déterminer plusieurs profils :</w:t>
      </w:r>
    </w:p>
    <w:p w:rsidR="0001433F" w:rsidRDefault="00C0115D">
      <w:pPr>
        <w:pStyle w:val="Standard"/>
        <w:numPr>
          <w:ilvl w:val="0"/>
          <w:numId w:val="4"/>
        </w:numPr>
        <w:spacing w:after="27"/>
        <w:jc w:val="both"/>
        <w:rPr>
          <w:rFonts w:hint="eastAsia"/>
          <w:color w:val="00000A"/>
          <w:lang w:val="fr-FR"/>
        </w:rPr>
      </w:pPr>
      <w:r>
        <w:rPr>
          <w:color w:val="00000A"/>
          <w:lang w:val="fr-FR"/>
        </w:rPr>
        <w:t>Acquis de compétences minimum en soutien à sa Société Nationale</w:t>
      </w:r>
    </w:p>
    <w:p w:rsidR="0001433F" w:rsidRDefault="00C0115D">
      <w:pPr>
        <w:pStyle w:val="Standard"/>
        <w:numPr>
          <w:ilvl w:val="0"/>
          <w:numId w:val="4"/>
        </w:numPr>
        <w:spacing w:after="27"/>
        <w:jc w:val="both"/>
        <w:rPr>
          <w:rFonts w:hint="eastAsia"/>
          <w:color w:val="00000A"/>
          <w:lang w:val="fr-FR"/>
        </w:rPr>
      </w:pPr>
      <w:r>
        <w:rPr>
          <w:color w:val="00000A"/>
          <w:lang w:val="fr-FR"/>
        </w:rPr>
        <w:t>Capacité à être déployé avec assistance dans un environnement familier</w:t>
      </w:r>
    </w:p>
    <w:p w:rsidR="0001433F" w:rsidRDefault="00C0115D">
      <w:pPr>
        <w:pStyle w:val="Standard"/>
        <w:numPr>
          <w:ilvl w:val="0"/>
          <w:numId w:val="4"/>
        </w:numPr>
        <w:spacing w:after="27"/>
        <w:jc w:val="both"/>
        <w:rPr>
          <w:rFonts w:hint="eastAsia"/>
          <w:color w:val="00000A"/>
          <w:lang w:val="fr-FR"/>
        </w:rPr>
      </w:pPr>
      <w:r>
        <w:rPr>
          <w:color w:val="00000A"/>
          <w:lang w:val="fr-FR"/>
        </w:rPr>
        <w:t>Capacité à être déployé dans un environnement complexe avec assistance</w:t>
      </w:r>
    </w:p>
    <w:p w:rsidR="0001433F" w:rsidRDefault="00C0115D">
      <w:pPr>
        <w:pStyle w:val="Standard"/>
        <w:numPr>
          <w:ilvl w:val="0"/>
          <w:numId w:val="4"/>
        </w:numPr>
        <w:spacing w:after="27"/>
        <w:jc w:val="both"/>
        <w:rPr>
          <w:rFonts w:hint="eastAsia"/>
          <w:color w:val="00000A"/>
          <w:lang w:val="fr-FR"/>
        </w:rPr>
      </w:pPr>
      <w:r>
        <w:rPr>
          <w:color w:val="00000A"/>
          <w:lang w:val="fr-FR"/>
        </w:rPr>
        <w:t>Qualifié et autonome pouvant être déployé</w:t>
      </w:r>
    </w:p>
    <w:p w:rsidR="0001433F" w:rsidRDefault="0001433F">
      <w:pPr>
        <w:pStyle w:val="Standard"/>
        <w:spacing w:after="27"/>
        <w:jc w:val="both"/>
        <w:rPr>
          <w:rFonts w:hint="eastAsia"/>
          <w:color w:val="00000A"/>
          <w:lang w:val="fr-FR"/>
        </w:rPr>
      </w:pPr>
    </w:p>
    <w:p w:rsidR="0001433F" w:rsidRDefault="00C0115D">
      <w:pPr>
        <w:pStyle w:val="Standard"/>
        <w:spacing w:after="27"/>
        <w:jc w:val="both"/>
        <w:rPr>
          <w:rFonts w:hint="eastAsia"/>
          <w:color w:val="00000A"/>
          <w:lang w:val="fr-FR"/>
        </w:rPr>
      </w:pPr>
      <w:r>
        <w:rPr>
          <w:color w:val="00000A"/>
          <w:lang w:val="fr-FR"/>
        </w:rPr>
        <w:t xml:space="preserve">Les résultats des tests, ont clairement confirmées les résultats espérés. La formation à renforcer les capacités des Sociétés Nationales présentes dans le secteur technique des abris et établissements humains et permis d’identifier parmi les participants des personnes ressources prêtes à soutenir d’autres sociétés Nationales Régionales en cas d’opérations d’urgence.   </w:t>
      </w:r>
    </w:p>
    <w:p w:rsidR="0001433F" w:rsidRDefault="0001433F">
      <w:pPr>
        <w:pStyle w:val="Standard"/>
        <w:rPr>
          <w:rFonts w:ascii="HelveticaNeueLTStd-Hv" w:hAnsi="HelveticaNeueLTStd-Hv" w:hint="eastAsia"/>
          <w:color w:val="693228"/>
          <w:sz w:val="44"/>
          <w:szCs w:val="44"/>
          <w:lang w:val="fr-FR"/>
        </w:rPr>
      </w:pPr>
    </w:p>
    <w:p w:rsidR="0001433F" w:rsidRDefault="00C0115D">
      <w:pPr>
        <w:pStyle w:val="Standard"/>
        <w:rPr>
          <w:rFonts w:ascii="HelveticaNeueLTStd-Hv" w:hAnsi="HelveticaNeueLTStd-Hv" w:hint="eastAsia"/>
          <w:color w:val="693228"/>
          <w:sz w:val="44"/>
          <w:szCs w:val="44"/>
          <w:lang w:val="fr-CH"/>
        </w:rPr>
      </w:pPr>
      <w:r>
        <w:rPr>
          <w:rFonts w:ascii="HelveticaNeueLTStd-Hv" w:hAnsi="HelveticaNeueLTStd-Hv"/>
          <w:color w:val="693228"/>
          <w:sz w:val="44"/>
          <w:szCs w:val="44"/>
          <w:lang w:val="fr-CH"/>
        </w:rPr>
        <w:t>10. Résultats des évaluations</w:t>
      </w:r>
    </w:p>
    <w:p w:rsidR="0001433F" w:rsidRDefault="0001433F">
      <w:pPr>
        <w:pStyle w:val="Standard"/>
        <w:rPr>
          <w:rFonts w:ascii="HelveticaNeueLTStd-Hv" w:hAnsi="HelveticaNeueLTStd-Hv" w:hint="eastAsia"/>
          <w:color w:val="693228"/>
          <w:sz w:val="44"/>
          <w:szCs w:val="44"/>
          <w:lang w:val="fr-CH"/>
        </w:rPr>
      </w:pPr>
    </w:p>
    <w:p w:rsidR="0001433F" w:rsidRDefault="00C0115D">
      <w:pPr>
        <w:pStyle w:val="Standard"/>
        <w:spacing w:after="27"/>
        <w:jc w:val="both"/>
        <w:rPr>
          <w:rFonts w:hint="eastAsia"/>
          <w:b/>
          <w:bCs/>
          <w:color w:val="00000A"/>
          <w:lang w:val="fr-FR"/>
        </w:rPr>
      </w:pPr>
      <w:r>
        <w:rPr>
          <w:b/>
          <w:bCs/>
          <w:color w:val="00000A"/>
          <w:lang w:val="fr-FR"/>
        </w:rPr>
        <w:t>Formation Francophone au Sénégal:</w:t>
      </w:r>
    </w:p>
    <w:p w:rsidR="0001433F" w:rsidRDefault="00C0115D">
      <w:pPr>
        <w:pStyle w:val="Standard"/>
        <w:spacing w:after="27"/>
        <w:jc w:val="both"/>
        <w:rPr>
          <w:rFonts w:hint="eastAsia"/>
          <w:color w:val="00000A"/>
          <w:lang w:val="fr-FR"/>
        </w:rPr>
      </w:pPr>
      <w:r>
        <w:rPr>
          <w:color w:val="00000A"/>
          <w:lang w:val="fr-FR"/>
        </w:rPr>
        <w:t>Sur un total de 21 participants :</w:t>
      </w:r>
    </w:p>
    <w:p w:rsidR="0001433F" w:rsidRDefault="00C0115D">
      <w:pPr>
        <w:pStyle w:val="Standard"/>
        <w:spacing w:after="27"/>
        <w:jc w:val="both"/>
        <w:rPr>
          <w:rFonts w:hint="eastAsia"/>
          <w:color w:val="00000A"/>
          <w:lang w:val="fr-FR"/>
        </w:rPr>
      </w:pPr>
      <w:r>
        <w:rPr>
          <w:color w:val="00000A"/>
          <w:lang w:val="fr-FR"/>
        </w:rPr>
        <w:tab/>
        <w:t xml:space="preserve">0 participants non </w:t>
      </w:r>
      <w:proofErr w:type="spellStart"/>
      <w:r>
        <w:rPr>
          <w:color w:val="00000A"/>
          <w:lang w:val="fr-FR"/>
        </w:rPr>
        <w:t>recommendés</w:t>
      </w:r>
      <w:proofErr w:type="spellEnd"/>
    </w:p>
    <w:p w:rsidR="0001433F" w:rsidRDefault="00C0115D">
      <w:pPr>
        <w:pStyle w:val="Standard"/>
        <w:spacing w:after="27"/>
        <w:jc w:val="both"/>
        <w:rPr>
          <w:rFonts w:hint="eastAsia"/>
          <w:color w:val="00000A"/>
          <w:lang w:val="fr-FR"/>
        </w:rPr>
      </w:pPr>
      <w:r>
        <w:rPr>
          <w:color w:val="00000A"/>
          <w:lang w:val="fr-FR"/>
        </w:rPr>
        <w:tab/>
        <w:t xml:space="preserve">4 </w:t>
      </w:r>
      <w:proofErr w:type="spellStart"/>
      <w:r>
        <w:rPr>
          <w:color w:val="00000A"/>
          <w:lang w:val="fr-FR"/>
        </w:rPr>
        <w:t>particpants</w:t>
      </w:r>
      <w:proofErr w:type="spellEnd"/>
      <w:r>
        <w:rPr>
          <w:color w:val="00000A"/>
          <w:lang w:val="fr-FR"/>
        </w:rPr>
        <w:t xml:space="preserve"> capables à être déployé avec assistance dans un environnement familier</w:t>
      </w:r>
    </w:p>
    <w:p w:rsidR="0001433F" w:rsidRDefault="00C0115D">
      <w:pPr>
        <w:pStyle w:val="Standard"/>
        <w:spacing w:after="27"/>
        <w:jc w:val="both"/>
        <w:rPr>
          <w:rFonts w:hint="eastAsia"/>
          <w:color w:val="00000A"/>
          <w:lang w:val="fr-FR"/>
        </w:rPr>
      </w:pPr>
      <w:r>
        <w:rPr>
          <w:color w:val="00000A"/>
          <w:lang w:val="fr-FR"/>
        </w:rPr>
        <w:tab/>
        <w:t xml:space="preserve">11 participants capables à être déployé dans un environnement complexe avec </w:t>
      </w:r>
      <w:r>
        <w:rPr>
          <w:color w:val="00000A"/>
          <w:lang w:val="fr-FR"/>
        </w:rPr>
        <w:tab/>
        <w:t>assistance</w:t>
      </w:r>
    </w:p>
    <w:p w:rsidR="0001433F" w:rsidRDefault="00C0115D">
      <w:pPr>
        <w:pStyle w:val="Standard"/>
        <w:spacing w:after="27"/>
        <w:jc w:val="both"/>
        <w:rPr>
          <w:rFonts w:hint="eastAsia"/>
          <w:color w:val="00000A"/>
          <w:lang w:val="fr-FR"/>
        </w:rPr>
      </w:pPr>
      <w:r>
        <w:rPr>
          <w:color w:val="00000A"/>
          <w:lang w:val="fr-FR"/>
        </w:rPr>
        <w:tab/>
        <w:t xml:space="preserve">6 </w:t>
      </w:r>
      <w:proofErr w:type="spellStart"/>
      <w:r>
        <w:rPr>
          <w:color w:val="00000A"/>
          <w:lang w:val="fr-FR"/>
        </w:rPr>
        <w:t>particpants</w:t>
      </w:r>
      <w:proofErr w:type="spellEnd"/>
      <w:r>
        <w:rPr>
          <w:color w:val="00000A"/>
          <w:lang w:val="fr-FR"/>
        </w:rPr>
        <w:t xml:space="preserve"> qualifiés et autonomes pouvant être déployés</w:t>
      </w:r>
    </w:p>
    <w:p w:rsidR="0001433F" w:rsidRDefault="0001433F">
      <w:pPr>
        <w:pStyle w:val="Standard"/>
        <w:spacing w:after="27"/>
        <w:jc w:val="both"/>
        <w:rPr>
          <w:rFonts w:hint="eastAsia"/>
          <w:color w:val="00000A"/>
          <w:lang w:val="fr-FR"/>
        </w:rPr>
      </w:pPr>
    </w:p>
    <w:p w:rsidR="0001433F" w:rsidRDefault="00C0115D">
      <w:pPr>
        <w:pStyle w:val="Standard"/>
        <w:spacing w:after="27"/>
        <w:jc w:val="both"/>
        <w:rPr>
          <w:rFonts w:hint="eastAsia"/>
          <w:color w:val="00000A"/>
          <w:lang w:val="fr-FR"/>
        </w:rPr>
      </w:pPr>
      <w:r>
        <w:rPr>
          <w:b/>
          <w:bCs/>
          <w:color w:val="00000A"/>
          <w:lang w:val="fr-FR"/>
        </w:rPr>
        <w:lastRenderedPageBreak/>
        <w:t xml:space="preserve">Formation Anglophone au </w:t>
      </w:r>
      <w:proofErr w:type="spellStart"/>
      <w:r>
        <w:rPr>
          <w:b/>
          <w:bCs/>
          <w:color w:val="00000A"/>
          <w:lang w:val="fr-FR"/>
        </w:rPr>
        <w:t>kenya</w:t>
      </w:r>
      <w:proofErr w:type="spellEnd"/>
      <w:r>
        <w:rPr>
          <w:b/>
          <w:bCs/>
          <w:color w:val="00000A"/>
          <w:lang w:val="fr-FR"/>
        </w:rPr>
        <w:t>:</w:t>
      </w:r>
    </w:p>
    <w:p w:rsidR="0001433F" w:rsidRDefault="00C0115D">
      <w:pPr>
        <w:pStyle w:val="Standard"/>
        <w:spacing w:after="27"/>
        <w:jc w:val="both"/>
        <w:rPr>
          <w:rFonts w:hint="eastAsia"/>
          <w:color w:val="00000A"/>
          <w:lang w:val="fr-FR"/>
        </w:rPr>
      </w:pPr>
      <w:r>
        <w:rPr>
          <w:color w:val="00000A"/>
          <w:lang w:val="fr-FR"/>
        </w:rPr>
        <w:t>Sur un total de 20 participants :</w:t>
      </w:r>
    </w:p>
    <w:p w:rsidR="0001433F" w:rsidRDefault="00C0115D">
      <w:pPr>
        <w:pStyle w:val="Standard"/>
        <w:spacing w:after="27"/>
        <w:jc w:val="both"/>
        <w:rPr>
          <w:rFonts w:hint="eastAsia"/>
          <w:color w:val="00000A"/>
          <w:lang w:val="fr-FR"/>
        </w:rPr>
      </w:pPr>
      <w:r>
        <w:rPr>
          <w:color w:val="00000A"/>
          <w:lang w:val="fr-FR"/>
        </w:rPr>
        <w:tab/>
        <w:t xml:space="preserve">1 participant non </w:t>
      </w:r>
      <w:proofErr w:type="spellStart"/>
      <w:r>
        <w:rPr>
          <w:color w:val="00000A"/>
          <w:lang w:val="fr-FR"/>
        </w:rPr>
        <w:t>recommendé</w:t>
      </w:r>
      <w:proofErr w:type="spellEnd"/>
    </w:p>
    <w:p w:rsidR="0001433F" w:rsidRDefault="00C0115D">
      <w:pPr>
        <w:pStyle w:val="Standard"/>
        <w:spacing w:after="27"/>
        <w:jc w:val="both"/>
        <w:rPr>
          <w:rFonts w:hint="eastAsia"/>
          <w:color w:val="00000A"/>
          <w:lang w:val="fr-FR"/>
        </w:rPr>
      </w:pPr>
      <w:r>
        <w:rPr>
          <w:color w:val="00000A"/>
          <w:lang w:val="fr-FR"/>
        </w:rPr>
        <w:tab/>
        <w:t>3 participants capables à être déployé avec assistance dans un environnement familier</w:t>
      </w:r>
    </w:p>
    <w:p w:rsidR="0001433F" w:rsidRDefault="00C0115D">
      <w:pPr>
        <w:pStyle w:val="Standard"/>
        <w:spacing w:after="27"/>
        <w:jc w:val="both"/>
        <w:rPr>
          <w:rFonts w:hint="eastAsia"/>
          <w:color w:val="00000A"/>
          <w:lang w:val="fr-FR"/>
        </w:rPr>
      </w:pPr>
      <w:r>
        <w:rPr>
          <w:color w:val="00000A"/>
          <w:lang w:val="fr-FR"/>
        </w:rPr>
        <w:tab/>
        <w:t xml:space="preserve">9 participants capables à être déployé dans un environnement complexe avec </w:t>
      </w:r>
      <w:r>
        <w:rPr>
          <w:color w:val="00000A"/>
          <w:lang w:val="fr-FR"/>
        </w:rPr>
        <w:tab/>
        <w:t>assistance</w:t>
      </w:r>
    </w:p>
    <w:p w:rsidR="0001433F" w:rsidRDefault="00C0115D">
      <w:pPr>
        <w:pStyle w:val="Standard"/>
        <w:spacing w:after="27"/>
        <w:jc w:val="both"/>
        <w:rPr>
          <w:rFonts w:hint="eastAsia"/>
          <w:color w:val="00000A"/>
          <w:lang w:val="fr-FR"/>
        </w:rPr>
      </w:pPr>
      <w:r>
        <w:rPr>
          <w:color w:val="00000A"/>
          <w:lang w:val="fr-FR"/>
        </w:rPr>
        <w:tab/>
        <w:t>7 participants qualifiés et autonomes pouvant être déployés</w:t>
      </w:r>
    </w:p>
    <w:p w:rsidR="0001433F" w:rsidRDefault="00C0115D">
      <w:pPr>
        <w:pStyle w:val="Standard"/>
        <w:tabs>
          <w:tab w:val="left" w:pos="790"/>
        </w:tabs>
        <w:spacing w:after="27"/>
        <w:jc w:val="both"/>
        <w:rPr>
          <w:rFonts w:hint="eastAsia"/>
          <w:color w:val="00000A"/>
          <w:lang w:val="fr-FR"/>
        </w:rPr>
      </w:pPr>
      <w:r>
        <w:rPr>
          <w:color w:val="00000A"/>
          <w:lang w:val="fr-FR"/>
        </w:rPr>
        <w:t xml:space="preserve">A cela, 3 </w:t>
      </w:r>
      <w:proofErr w:type="spellStart"/>
      <w:r>
        <w:rPr>
          <w:color w:val="00000A"/>
          <w:lang w:val="fr-FR"/>
        </w:rPr>
        <w:t>co</w:t>
      </w:r>
      <w:proofErr w:type="spellEnd"/>
      <w:r>
        <w:rPr>
          <w:color w:val="00000A"/>
          <w:lang w:val="fr-FR"/>
        </w:rPr>
        <w:t xml:space="preserve">-facilitateurs anglophones (2 du Kenya et 1 d'Ouganda) ayant  activement aidé lors de la formation au Kenya ont été identifié comme personnes ressources. Daniel </w:t>
      </w:r>
      <w:proofErr w:type="spellStart"/>
      <w:r>
        <w:rPr>
          <w:color w:val="00000A"/>
          <w:lang w:val="fr-FR"/>
        </w:rPr>
        <w:t>Mutinda</w:t>
      </w:r>
      <w:proofErr w:type="spellEnd"/>
      <w:r>
        <w:rPr>
          <w:color w:val="00000A"/>
          <w:lang w:val="fr-FR"/>
        </w:rPr>
        <w:t xml:space="preserve">, </w:t>
      </w:r>
      <w:proofErr w:type="spellStart"/>
      <w:r>
        <w:rPr>
          <w:color w:val="00000A"/>
          <w:lang w:val="fr-FR"/>
        </w:rPr>
        <w:t>Mbalu</w:t>
      </w:r>
      <w:proofErr w:type="spellEnd"/>
      <w:r>
        <w:rPr>
          <w:color w:val="00000A"/>
          <w:lang w:val="fr-FR"/>
        </w:rPr>
        <w:t xml:space="preserve"> Joe et Brian </w:t>
      </w:r>
      <w:proofErr w:type="spellStart"/>
      <w:r>
        <w:rPr>
          <w:color w:val="00000A"/>
          <w:lang w:val="fr-FR"/>
        </w:rPr>
        <w:t>Kanaahe</w:t>
      </w:r>
      <w:proofErr w:type="spellEnd"/>
      <w:r>
        <w:rPr>
          <w:color w:val="00000A"/>
          <w:lang w:val="fr-FR"/>
        </w:rPr>
        <w:t xml:space="preserve"> seront à intégrer au « </w:t>
      </w:r>
      <w:proofErr w:type="spellStart"/>
      <w:r>
        <w:rPr>
          <w:color w:val="00000A"/>
          <w:lang w:val="fr-FR"/>
        </w:rPr>
        <w:t>roster</w:t>
      </w:r>
      <w:proofErr w:type="spellEnd"/>
      <w:r>
        <w:rPr>
          <w:color w:val="00000A"/>
          <w:lang w:val="fr-FR"/>
        </w:rPr>
        <w:t> ».</w:t>
      </w:r>
    </w:p>
    <w:p w:rsidR="0001433F" w:rsidRDefault="0001433F">
      <w:pPr>
        <w:pStyle w:val="Standard"/>
        <w:spacing w:after="27"/>
        <w:jc w:val="both"/>
        <w:rPr>
          <w:rFonts w:hint="eastAsia"/>
          <w:b/>
          <w:bCs/>
          <w:i/>
          <w:iCs/>
          <w:color w:val="00000A"/>
          <w:sz w:val="32"/>
          <w:szCs w:val="32"/>
          <w:lang w:val="fr-FR"/>
        </w:rPr>
      </w:pPr>
    </w:p>
    <w:p w:rsidR="0001433F" w:rsidRPr="002F7227" w:rsidRDefault="00C0115D">
      <w:pPr>
        <w:pStyle w:val="Standard"/>
        <w:rPr>
          <w:rFonts w:ascii="HelveticaNeueLTStd-Hv" w:hAnsi="HelveticaNeueLTStd-Hv" w:hint="eastAsia"/>
          <w:color w:val="693228"/>
          <w:sz w:val="44"/>
          <w:szCs w:val="44"/>
          <w:lang w:val="fr-LU"/>
        </w:rPr>
      </w:pPr>
      <w:r w:rsidRPr="002F7227">
        <w:rPr>
          <w:rFonts w:ascii="HelveticaNeueLTStd-Hv" w:hAnsi="HelveticaNeueLTStd-Hv"/>
          <w:color w:val="693228"/>
          <w:sz w:val="44"/>
          <w:szCs w:val="44"/>
          <w:lang w:val="fr-LU"/>
        </w:rPr>
        <w:t xml:space="preserve">11. Les prochaines étapes  </w:t>
      </w:r>
    </w:p>
    <w:p w:rsidR="0001433F" w:rsidRPr="002F7227" w:rsidRDefault="0001433F">
      <w:pPr>
        <w:pStyle w:val="Standard"/>
        <w:rPr>
          <w:rFonts w:ascii="HelveticaNeueLTStd-Hv" w:hAnsi="HelveticaNeueLTStd-Hv" w:hint="eastAsia"/>
          <w:color w:val="693228"/>
          <w:sz w:val="44"/>
          <w:szCs w:val="44"/>
          <w:lang w:val="fr-LU"/>
        </w:rPr>
      </w:pPr>
    </w:p>
    <w:p w:rsidR="0001433F" w:rsidRDefault="00C0115D">
      <w:pPr>
        <w:pStyle w:val="Standard"/>
        <w:spacing w:after="27"/>
        <w:jc w:val="both"/>
        <w:rPr>
          <w:rFonts w:hint="eastAsia"/>
          <w:color w:val="00000A"/>
          <w:lang w:val="fr-FR"/>
        </w:rPr>
      </w:pPr>
      <w:r>
        <w:rPr>
          <w:color w:val="00000A"/>
          <w:lang w:val="fr-FR"/>
        </w:rPr>
        <w:t xml:space="preserve">Chaque participant a reçu un dossier complet et une clé USB comprenant l’ensemble des documents de la formation ainsi que des ouvrages clés francophones ou anglophones illustrant le secteur.  Ces documents permettront aux participants de former à leur tour des volontaires et des employés au sein de leur Société Nationale respective. L’IFRC-SRU en coordination avec les bureaux de la FICR veillera à assurer le suivi de cette formation.  </w:t>
      </w:r>
    </w:p>
    <w:p w:rsidR="0001433F" w:rsidRDefault="0001433F">
      <w:pPr>
        <w:pStyle w:val="Standard"/>
        <w:spacing w:after="27"/>
        <w:jc w:val="both"/>
        <w:rPr>
          <w:rFonts w:hint="eastAsia"/>
          <w:color w:val="00000A"/>
          <w:lang w:val="fr-FR"/>
        </w:rPr>
      </w:pPr>
    </w:p>
    <w:p w:rsidR="0001433F" w:rsidRDefault="00C0115D">
      <w:pPr>
        <w:pStyle w:val="Standard"/>
        <w:spacing w:after="27"/>
        <w:jc w:val="both"/>
        <w:rPr>
          <w:rFonts w:hint="eastAsia"/>
          <w:color w:val="00000A"/>
          <w:lang w:val="fr-FR"/>
        </w:rPr>
      </w:pPr>
      <w:r>
        <w:rPr>
          <w:color w:val="00000A"/>
          <w:lang w:val="fr-FR"/>
        </w:rPr>
        <w:t>Les résultats des évaluations seront capitalisés dans la base de données des personnes ressources au niveau du bureau Régional de la FICR afin d’identifier les personnes pouvant apporter un soutien opérationnel.</w:t>
      </w:r>
    </w:p>
    <w:p w:rsidR="0001433F" w:rsidRDefault="0001433F">
      <w:pPr>
        <w:pStyle w:val="Standard"/>
        <w:spacing w:after="27"/>
        <w:jc w:val="both"/>
        <w:rPr>
          <w:rFonts w:hint="eastAsia"/>
          <w:color w:val="00000A"/>
          <w:lang w:val="fr-FR"/>
        </w:rPr>
      </w:pPr>
    </w:p>
    <w:p w:rsidR="0001433F" w:rsidRDefault="00C0115D">
      <w:pPr>
        <w:pStyle w:val="Standard"/>
        <w:spacing w:after="27"/>
        <w:jc w:val="both"/>
        <w:rPr>
          <w:rFonts w:hint="eastAsia"/>
          <w:color w:val="00000A"/>
          <w:lang w:val="fr-FR"/>
        </w:rPr>
      </w:pPr>
      <w:r>
        <w:rPr>
          <w:color w:val="00000A"/>
          <w:lang w:val="fr-FR"/>
        </w:rPr>
        <w:t>De prochaines formations ciblant d’autres Sociétés Nationales seront sans doute envisagées et planifiées en 2020 si les moyens financiers peuvent le permettre, afin d’actualiser la banque de données et de renforcer ultérieurement la capacité des Sociétés Nationales Africaines actives dans le secteur « Abris et Etablissements humains ».</w:t>
      </w:r>
    </w:p>
    <w:p w:rsidR="0001433F" w:rsidRDefault="0001433F">
      <w:pPr>
        <w:pStyle w:val="Standard"/>
        <w:spacing w:after="27"/>
        <w:jc w:val="both"/>
        <w:rPr>
          <w:rFonts w:hint="eastAsia"/>
          <w:color w:val="00000A"/>
          <w:lang w:val="fr-FR"/>
        </w:rPr>
      </w:pPr>
    </w:p>
    <w:p w:rsidR="0001433F" w:rsidRDefault="0001433F">
      <w:pPr>
        <w:pStyle w:val="Standard"/>
        <w:spacing w:after="27"/>
        <w:jc w:val="both"/>
        <w:rPr>
          <w:rFonts w:hint="eastAsia"/>
          <w:color w:val="00000A"/>
          <w:lang w:val="fr-FR"/>
        </w:rPr>
      </w:pPr>
    </w:p>
    <w:p w:rsidR="0001433F" w:rsidRDefault="00C0115D">
      <w:pPr>
        <w:pStyle w:val="Standard"/>
        <w:rPr>
          <w:rFonts w:ascii="HelveticaNeueLTStd-Hv" w:hAnsi="HelveticaNeueLTStd-Hv" w:hint="eastAsia"/>
          <w:color w:val="693228"/>
          <w:sz w:val="44"/>
          <w:szCs w:val="44"/>
          <w:lang w:val="fr-FR"/>
        </w:rPr>
      </w:pPr>
      <w:r>
        <w:rPr>
          <w:rFonts w:ascii="HelveticaNeueLTStd-Hv" w:hAnsi="HelveticaNeueLTStd-Hv"/>
          <w:color w:val="693228"/>
          <w:sz w:val="44"/>
          <w:szCs w:val="44"/>
          <w:lang w:val="fr-FR"/>
        </w:rPr>
        <w:t>12. Les documents en annexes</w:t>
      </w:r>
    </w:p>
    <w:p w:rsidR="0001433F" w:rsidRDefault="0001433F">
      <w:pPr>
        <w:pStyle w:val="Standard"/>
        <w:spacing w:after="27"/>
        <w:ind w:left="720"/>
        <w:jc w:val="both"/>
        <w:rPr>
          <w:rFonts w:hint="eastAsia"/>
          <w:b/>
          <w:bCs/>
          <w:i/>
          <w:iCs/>
          <w:color w:val="00000A"/>
          <w:sz w:val="32"/>
          <w:szCs w:val="32"/>
          <w:lang w:val="fr-FR"/>
        </w:rPr>
      </w:pPr>
    </w:p>
    <w:p w:rsidR="0001433F" w:rsidRDefault="00C0115D">
      <w:pPr>
        <w:pStyle w:val="Standard"/>
        <w:spacing w:after="27"/>
        <w:jc w:val="both"/>
        <w:rPr>
          <w:rFonts w:hint="eastAsia"/>
          <w:b/>
          <w:color w:val="00000A"/>
          <w:lang w:val="fr-FR"/>
        </w:rPr>
      </w:pPr>
      <w:r>
        <w:rPr>
          <w:b/>
          <w:color w:val="00000A"/>
          <w:lang w:val="fr-FR"/>
        </w:rPr>
        <w:t>Voir en attachement les fichiers Zip</w:t>
      </w:r>
    </w:p>
    <w:p w:rsidR="0001433F" w:rsidRDefault="00C0115D">
      <w:pPr>
        <w:pStyle w:val="Standard"/>
        <w:numPr>
          <w:ilvl w:val="0"/>
          <w:numId w:val="4"/>
        </w:numPr>
        <w:spacing w:after="27"/>
        <w:jc w:val="both"/>
        <w:rPr>
          <w:rFonts w:hint="eastAsia"/>
          <w:color w:val="00000A"/>
          <w:lang w:val="fr-FR"/>
        </w:rPr>
      </w:pPr>
      <w:r>
        <w:rPr>
          <w:color w:val="00000A"/>
          <w:lang w:val="fr-FR"/>
        </w:rPr>
        <w:t>les présentations des cessions</w:t>
      </w:r>
    </w:p>
    <w:p w:rsidR="0001433F" w:rsidRDefault="00C0115D">
      <w:pPr>
        <w:pStyle w:val="Standard"/>
        <w:numPr>
          <w:ilvl w:val="0"/>
          <w:numId w:val="4"/>
        </w:numPr>
        <w:spacing w:after="27"/>
        <w:jc w:val="both"/>
        <w:rPr>
          <w:rFonts w:hint="eastAsia"/>
          <w:color w:val="00000A"/>
          <w:lang w:val="fr-FR"/>
        </w:rPr>
      </w:pPr>
      <w:r>
        <w:rPr>
          <w:color w:val="00000A"/>
          <w:lang w:val="fr-FR"/>
        </w:rPr>
        <w:t>sommaire de l’exercice de construction</w:t>
      </w:r>
    </w:p>
    <w:p w:rsidR="0001433F" w:rsidRDefault="00C0115D">
      <w:pPr>
        <w:pStyle w:val="Standard"/>
        <w:numPr>
          <w:ilvl w:val="0"/>
          <w:numId w:val="4"/>
        </w:numPr>
        <w:spacing w:after="27"/>
        <w:jc w:val="both"/>
        <w:rPr>
          <w:rFonts w:hint="eastAsia"/>
          <w:color w:val="00000A"/>
          <w:lang w:val="fr-FR"/>
        </w:rPr>
      </w:pPr>
      <w:r>
        <w:rPr>
          <w:color w:val="00000A"/>
          <w:lang w:val="fr-FR"/>
        </w:rPr>
        <w:t xml:space="preserve">sommaire de l’exercice de conception d’un plan d’action  </w:t>
      </w:r>
    </w:p>
    <w:p w:rsidR="0001433F" w:rsidRDefault="00C0115D">
      <w:pPr>
        <w:pStyle w:val="Standard"/>
        <w:numPr>
          <w:ilvl w:val="0"/>
          <w:numId w:val="4"/>
        </w:numPr>
        <w:spacing w:after="27"/>
        <w:jc w:val="both"/>
        <w:rPr>
          <w:rFonts w:hint="eastAsia"/>
          <w:color w:val="00000A"/>
          <w:lang w:val="fr-FR"/>
        </w:rPr>
      </w:pPr>
      <w:r>
        <w:rPr>
          <w:color w:val="00000A"/>
          <w:lang w:val="fr-FR"/>
        </w:rPr>
        <w:t>des photos de la formation</w:t>
      </w:r>
    </w:p>
    <w:p w:rsidR="0001433F" w:rsidRDefault="0001433F">
      <w:pPr>
        <w:pStyle w:val="Standard"/>
        <w:rPr>
          <w:rFonts w:hint="eastAsia"/>
          <w:lang w:val="fr-CH"/>
        </w:rPr>
      </w:pPr>
    </w:p>
    <w:p w:rsidR="0001433F" w:rsidRDefault="0001433F">
      <w:pPr>
        <w:pStyle w:val="Standard"/>
        <w:rPr>
          <w:rFonts w:hint="eastAsia"/>
          <w:lang w:val="fr-CH"/>
        </w:rPr>
      </w:pPr>
      <w:bookmarkStart w:id="1" w:name="Bookmark"/>
      <w:bookmarkEnd w:id="1"/>
    </w:p>
    <w:p w:rsidR="0001433F" w:rsidRDefault="0001433F">
      <w:pPr>
        <w:pStyle w:val="Standard"/>
        <w:rPr>
          <w:rFonts w:hint="eastAsia"/>
          <w:lang w:val="fr-CH"/>
        </w:rPr>
      </w:pPr>
    </w:p>
    <w:p w:rsidR="0001433F" w:rsidRDefault="0001433F">
      <w:pPr>
        <w:pStyle w:val="Standard"/>
        <w:rPr>
          <w:rFonts w:hint="eastAsia"/>
          <w:lang w:val="fr-CH"/>
        </w:rPr>
      </w:pPr>
    </w:p>
    <w:p w:rsidR="0001433F" w:rsidRDefault="0001433F">
      <w:pPr>
        <w:pStyle w:val="Standard"/>
        <w:rPr>
          <w:rFonts w:hint="eastAsia"/>
        </w:rPr>
      </w:pPr>
    </w:p>
    <w:sectPr w:rsidR="0001433F">
      <w:headerReference w:type="default" r:id="rId8"/>
      <w:footerReference w:type="default" r:id="rId9"/>
      <w:footerReference w:type="first" r:id="rId10"/>
      <w:pgSz w:w="11906" w:h="16838"/>
      <w:pgMar w:top="708" w:right="1417" w:bottom="766" w:left="1417" w:header="720"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B64" w:rsidRDefault="00C0115D">
      <w:pPr>
        <w:spacing w:after="0" w:line="240" w:lineRule="auto"/>
      </w:pPr>
      <w:r>
        <w:separator/>
      </w:r>
    </w:p>
  </w:endnote>
  <w:endnote w:type="continuationSeparator" w:id="0">
    <w:p w:rsidR="00E15B64" w:rsidRDefault="00C01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55 Roman">
    <w:altName w:val="Times New Roman"/>
    <w:charset w:val="00"/>
    <w:family w:val="auto"/>
    <w:pitch w:val="variable"/>
  </w:font>
  <w:font w:name="Microsoft YaHei">
    <w:panose1 w:val="020B0503020204020204"/>
    <w:charset w:val="86"/>
    <w:family w:val="swiss"/>
    <w:pitch w:val="variable"/>
    <w:sig w:usb0="A0000287" w:usb1="28CF3C52" w:usb2="00000016" w:usb3="00000000" w:csb0="0004001F" w:csb1="00000000"/>
  </w:font>
  <w:font w:name="Lucida Sans">
    <w:panose1 w:val="020B0703040504020204"/>
    <w:charset w:val="00"/>
    <w:family w:val="swiss"/>
    <w:pitch w:val="variable"/>
    <w:sig w:usb0="00000003" w:usb1="00000000" w:usb2="00000000" w:usb3="00000000" w:csb0="00000001" w:csb1="00000000"/>
  </w:font>
  <w:font w:name="Lucida Grande">
    <w:charset w:val="00"/>
    <w:family w:val="auto"/>
    <w:pitch w:val="variable"/>
  </w:font>
  <w:font w:name="OpenSymbol">
    <w:charset w:val="00"/>
    <w:family w:val="auto"/>
    <w:pitch w:val="default"/>
  </w:font>
  <w:font w:name="HelveticaNeueLTStd-Bd">
    <w:altName w:val="Times New Roman"/>
    <w:charset w:val="00"/>
    <w:family w:val="auto"/>
    <w:pitch w:val="variable"/>
  </w:font>
  <w:font w:name="CaeciliaLTStd-Light">
    <w:altName w:val="Times New Roman"/>
    <w:charset w:val="00"/>
    <w:family w:val="auto"/>
    <w:pitch w:val="variable"/>
  </w:font>
  <w:font w:name="HelveticaNeueLTStd-Hv">
    <w:altName w:val="Times New Roman"/>
    <w:charset w:val="00"/>
    <w:family w:val="auto"/>
    <w:pitch w:val="variable"/>
  </w:font>
  <w:font w:name="CaeciliaLTStd-LightItalic">
    <w:altName w:val="Times New Roman"/>
    <w:charset w:val="00"/>
    <w:family w:val="roman"/>
    <w:pitch w:val="variable"/>
  </w:font>
  <w:font w:name="CaeciliaLTStd-Bold">
    <w:altName w:val="Times New Roman"/>
    <w:charset w:val="00"/>
    <w:family w:val="auto"/>
    <w:pitch w:val="variable"/>
  </w:font>
  <w:font w:name="HelveticaNeueLTStd-Th">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7CF" w:rsidRDefault="00C0115D">
    <w:pPr>
      <w:pStyle w:val="Standard"/>
      <w:rPr>
        <w:rFonts w:ascii="CaeciliaLTStd-Bold" w:hAnsi="CaeciliaLTStd-Bold" w:cs="CaeciliaLTStd-Bold" w:hint="eastAsia"/>
        <w:b/>
        <w:bCs/>
        <w:color w:val="693228"/>
        <w:sz w:val="20"/>
        <w:szCs w:val="20"/>
      </w:rPr>
    </w:pPr>
    <w:r>
      <w:rPr>
        <w:rFonts w:ascii="CaeciliaLTStd-Bold" w:hAnsi="CaeciliaLTStd-Bold" w:cs="CaeciliaLTStd-Bold"/>
        <w:b/>
        <w:bCs/>
        <w:color w:val="693228"/>
        <w:sz w:val="20"/>
        <w:szCs w:val="20"/>
      </w:rPr>
      <w:t>……………………………………………………………………………………………………………………….</w:t>
    </w:r>
  </w:p>
  <w:p w:rsidR="003A77CF" w:rsidRDefault="00C0115D">
    <w:pPr>
      <w:pStyle w:val="Pieddepage"/>
      <w:rPr>
        <w:rFonts w:hint="eastAsia"/>
      </w:rPr>
    </w:pPr>
    <w:r>
      <w:fldChar w:fldCharType="begin"/>
    </w:r>
    <w:r>
      <w:instrText xml:space="preserve"> PAGE </w:instrText>
    </w:r>
    <w:r>
      <w:fldChar w:fldCharType="separate"/>
    </w:r>
    <w:r w:rsidR="002F7227">
      <w:rPr>
        <w:rFonts w:hint="eastAsia"/>
        <w:noProof/>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7CF" w:rsidRDefault="00C0115D">
    <w:pPr>
      <w:pStyle w:val="Pieddepage"/>
      <w:jc w:val="right"/>
      <w:rPr>
        <w:rFonts w:hint="eastAsia"/>
      </w:rPr>
    </w:pPr>
    <w:r>
      <w:rPr>
        <w:noProof/>
        <w:lang w:val="fr-LU" w:eastAsia="fr-LU"/>
      </w:rPr>
      <w:drawing>
        <wp:anchor distT="0" distB="0" distL="114300" distR="114300" simplePos="0" relativeHeight="251659264" behindDoc="0" locked="0" layoutInCell="1" allowOverlap="1">
          <wp:simplePos x="0" y="0"/>
          <wp:positionH relativeFrom="column">
            <wp:posOffset>-188640</wp:posOffset>
          </wp:positionH>
          <wp:positionV relativeFrom="paragraph">
            <wp:posOffset>53309</wp:posOffset>
          </wp:positionV>
          <wp:extent cx="2384298" cy="503651"/>
          <wp:effectExtent l="0" t="0" r="0" b="0"/>
          <wp:wrapSquare wrapText="bothSides"/>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384298" cy="503651"/>
                  </a:xfrm>
                  <a:prstGeom prst="rect">
                    <a:avLst/>
                  </a:prstGeom>
                  <a:noFill/>
                  <a:ln>
                    <a:noFill/>
                    <a:prstDash/>
                  </a:ln>
                </pic:spPr>
              </pic:pic>
            </a:graphicData>
          </a:graphic>
        </wp:anchor>
      </w:drawing>
    </w:r>
    <w:r>
      <w:rPr>
        <w:noProof/>
        <w:lang w:val="fr-LU" w:eastAsia="fr-LU"/>
      </w:rPr>
      <w:drawing>
        <wp:anchor distT="0" distB="0" distL="114300" distR="114300" simplePos="0" relativeHeight="251660288" behindDoc="1" locked="0" layoutInCell="1" allowOverlap="1">
          <wp:simplePos x="0" y="0"/>
          <wp:positionH relativeFrom="column">
            <wp:posOffset>728319</wp:posOffset>
          </wp:positionH>
          <wp:positionV relativeFrom="paragraph">
            <wp:posOffset>-52578</wp:posOffset>
          </wp:positionV>
          <wp:extent cx="5730819" cy="660928"/>
          <wp:effectExtent l="0" t="0" r="3231" b="5822"/>
          <wp:wrapNone/>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5730819" cy="660928"/>
                  </a:xfrm>
                  <a:prstGeom prst="rect">
                    <a:avLst/>
                  </a:prstGeom>
                  <a:noFill/>
                  <a:ln>
                    <a:noFill/>
                    <a:prstDash/>
                  </a:ln>
                </pic:spPr>
              </pic:pic>
            </a:graphicData>
          </a:graphic>
        </wp:anchor>
      </w:drawing>
    </w:r>
  </w:p>
  <w:p w:rsidR="003A77CF" w:rsidRDefault="002F7227">
    <w:pPr>
      <w:pStyle w:val="Pieddepag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B64" w:rsidRDefault="00C0115D">
      <w:pPr>
        <w:spacing w:after="0" w:line="240" w:lineRule="auto"/>
      </w:pPr>
      <w:r>
        <w:rPr>
          <w:color w:val="000000"/>
        </w:rPr>
        <w:separator/>
      </w:r>
    </w:p>
  </w:footnote>
  <w:footnote w:type="continuationSeparator" w:id="0">
    <w:p w:rsidR="00E15B64" w:rsidRDefault="00C01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7CF" w:rsidRDefault="00C0115D">
    <w:pPr>
      <w:pStyle w:val="Standard"/>
      <w:rPr>
        <w:rFonts w:ascii="CaeciliaLTStd-Bold" w:hAnsi="CaeciliaLTStd-Bold" w:cs="CaeciliaLTStd-Bold" w:hint="eastAsia"/>
        <w:b/>
        <w:bCs/>
        <w:sz w:val="16"/>
        <w:szCs w:val="16"/>
      </w:rPr>
    </w:pPr>
    <w:r>
      <w:rPr>
        <w:rFonts w:ascii="CaeciliaLTStd-Bold" w:hAnsi="CaeciliaLTStd-Bold" w:cs="CaeciliaLTStd-Bold"/>
        <w:b/>
        <w:bCs/>
        <w:sz w:val="16"/>
        <w:szCs w:val="16"/>
      </w:rPr>
      <w:t>International Federation of Red Cross and Red Crescent Societies -Shelter Research Unit</w:t>
    </w:r>
  </w:p>
  <w:p w:rsidR="003A77CF" w:rsidRPr="002F7227" w:rsidRDefault="00C0115D">
    <w:pPr>
      <w:pStyle w:val="Standard"/>
      <w:rPr>
        <w:rFonts w:hint="eastAsia"/>
        <w:lang w:val="fr-LU"/>
      </w:rPr>
    </w:pPr>
    <w:r>
      <w:rPr>
        <w:rFonts w:ascii="HelveticaNeueLTStd-Bd" w:hAnsi="HelveticaNeueLTStd-Bd" w:cs="HelveticaNeueLTStd-Bd"/>
        <w:color w:val="7A1600"/>
        <w:sz w:val="18"/>
        <w:szCs w:val="18"/>
        <w:lang w:val="fr-CH"/>
      </w:rPr>
      <w:t xml:space="preserve">Rapport de mission </w:t>
    </w:r>
    <w:r>
      <w:rPr>
        <w:rFonts w:ascii="HelveticaNeueLTStd-Bd" w:hAnsi="HelveticaNeueLTStd-Bd" w:cs="HelveticaNeueLTStd-Bd"/>
        <w:color w:val="FF0000"/>
        <w:sz w:val="18"/>
        <w:szCs w:val="18"/>
        <w:lang w:val="fr-CH"/>
      </w:rPr>
      <w:t>« F</w:t>
    </w:r>
    <w:r>
      <w:rPr>
        <w:rFonts w:ascii="HelveticaNeueLTStd-Th" w:hAnsi="HelveticaNeueLTStd-Th" w:cs="HelveticaNeueLTStd-Th"/>
        <w:color w:val="FF0000"/>
        <w:sz w:val="18"/>
        <w:szCs w:val="18"/>
        <w:lang w:val="fr-CH"/>
      </w:rPr>
      <w:t>ormation</w:t>
    </w:r>
    <w:r>
      <w:rPr>
        <w:rFonts w:ascii="HelveticaNeueLTStd-Th" w:hAnsi="HelveticaNeueLTStd-Th" w:cs="HelveticaNeueLTStd-Th"/>
        <w:color w:val="EF3124"/>
        <w:sz w:val="18"/>
        <w:szCs w:val="18"/>
        <w:lang w:val="fr-CH"/>
      </w:rPr>
      <w:t xml:space="preserve"> Abris et Etablissements humains - Afrique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A7CA8"/>
    <w:multiLevelType w:val="multilevel"/>
    <w:tmpl w:val="1F323E32"/>
    <w:styleLink w:val="WWNum3"/>
    <w:lvl w:ilvl="0">
      <w:numFmt w:val="bullet"/>
      <w:lvlText w:val="-"/>
      <w:lvlJc w:val="left"/>
      <w:pPr>
        <w:ind w:left="720" w:hanging="360"/>
      </w:pPr>
      <w:rPr>
        <w:rFonts w:ascii="Arial" w:hAnsi="Arial" w:cs="Calibri"/>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1" w15:restartNumberingAfterBreak="0">
    <w:nsid w:val="1D4B72BD"/>
    <w:multiLevelType w:val="multilevel"/>
    <w:tmpl w:val="26944DBC"/>
    <w:styleLink w:val="WWNum5"/>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25C4F9A"/>
    <w:multiLevelType w:val="multilevel"/>
    <w:tmpl w:val="1B2CA986"/>
    <w:styleLink w:val="WWNum2"/>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17F0C3B"/>
    <w:multiLevelType w:val="multilevel"/>
    <w:tmpl w:val="D47E644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3ED1111F"/>
    <w:multiLevelType w:val="multilevel"/>
    <w:tmpl w:val="0A7EF5B8"/>
    <w:styleLink w:val="WWNum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9BC7B61"/>
    <w:multiLevelType w:val="multilevel"/>
    <w:tmpl w:val="FF0E8316"/>
    <w:styleLink w:val="WWNum6"/>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2"/>
  </w:num>
  <w:num w:numId="3">
    <w:abstractNumId w:val="0"/>
  </w:num>
  <w:num w:numId="4">
    <w:abstractNumId w:val="4"/>
  </w:num>
  <w:num w:numId="5">
    <w:abstractNumId w:val="1"/>
  </w:num>
  <w:num w:numId="6">
    <w:abstractNumId w:val="5"/>
  </w:num>
  <w:num w:numId="7">
    <w:abstractNumId w:val="2"/>
  </w:num>
  <w:num w:numId="8">
    <w:abstractNumId w:val="0"/>
  </w:num>
  <w:num w:numId="9">
    <w:abstractNumId w:val="1"/>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33F"/>
    <w:rsid w:val="0001433F"/>
    <w:rsid w:val="002F7227"/>
    <w:rsid w:val="00C0115D"/>
    <w:rsid w:val="00DA7CC6"/>
    <w:rsid w:val="00E15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451CCA-D952-4971-9163-BE3081F1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ahoma"/>
        <w:kern w:val="3"/>
        <w:sz w:val="22"/>
        <w:szCs w:val="22"/>
        <w:lang w:val="fr-LU"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0" w:line="240" w:lineRule="auto"/>
    </w:pPr>
    <w:rPr>
      <w:rFonts w:ascii="Helvetica 55 Roman" w:hAnsi="Helvetica 55 Roman" w:cs="Helvetica 55 Roman"/>
      <w:color w:val="000000"/>
      <w:sz w:val="24"/>
      <w:szCs w:val="24"/>
      <w:lang w:val="en-US"/>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En-tte">
    <w:name w:val="header"/>
    <w:basedOn w:val="Standard"/>
    <w:pPr>
      <w:suppressLineNumbers/>
      <w:tabs>
        <w:tab w:val="center" w:pos="4703"/>
        <w:tab w:val="right" w:pos="9406"/>
      </w:tabs>
    </w:pPr>
  </w:style>
  <w:style w:type="paragraph" w:styleId="Pieddepage">
    <w:name w:val="footer"/>
    <w:basedOn w:val="Standard"/>
    <w:pPr>
      <w:suppressLineNumbers/>
      <w:tabs>
        <w:tab w:val="center" w:pos="4703"/>
        <w:tab w:val="right" w:pos="9406"/>
      </w:tabs>
    </w:pPr>
  </w:style>
  <w:style w:type="paragraph" w:styleId="Paragraphedeliste">
    <w:name w:val="List Paragraph"/>
    <w:basedOn w:val="Standard"/>
    <w:pPr>
      <w:ind w:left="720"/>
    </w:pPr>
    <w:rPr>
      <w:rFonts w:ascii="Calibri" w:hAnsi="Calibri" w:cs="Times New Roman"/>
    </w:rPr>
  </w:style>
  <w:style w:type="paragraph" w:styleId="Textedebulles">
    <w:name w:val="Balloon Text"/>
    <w:basedOn w:val="Standard"/>
    <w:rPr>
      <w:rFonts w:ascii="Lucida Grande" w:hAnsi="Lucida Grande" w:cs="Lucida Grande"/>
      <w:sz w:val="18"/>
      <w:szCs w:val="18"/>
    </w:rPr>
  </w:style>
  <w:style w:type="paragraph" w:styleId="Commentaire">
    <w:name w:val="annotation text"/>
    <w:basedOn w:val="Standard"/>
  </w:style>
  <w:style w:type="paragraph" w:styleId="Objetducommentaire">
    <w:name w:val="annotation subject"/>
    <w:basedOn w:val="Commentaire"/>
    <w:rPr>
      <w:b/>
      <w:bCs/>
      <w:sz w:val="20"/>
      <w:szCs w:val="20"/>
    </w:rPr>
  </w:style>
  <w:style w:type="character" w:customStyle="1" w:styleId="HeaderChar">
    <w:name w:val="Header Char"/>
    <w:basedOn w:val="Policepardfaut"/>
  </w:style>
  <w:style w:type="character" w:customStyle="1" w:styleId="FooterChar">
    <w:name w:val="Footer Char"/>
    <w:basedOn w:val="Policepardfaut"/>
  </w:style>
  <w:style w:type="character" w:customStyle="1" w:styleId="Internetlink">
    <w:name w:val="Internet link"/>
    <w:basedOn w:val="Policepardfaut"/>
    <w:rPr>
      <w:color w:val="0563C1"/>
      <w:u w:val="single"/>
    </w:rPr>
  </w:style>
  <w:style w:type="character" w:customStyle="1" w:styleId="BalloonTextChar">
    <w:name w:val="Balloon Text Char"/>
    <w:basedOn w:val="Policepardfaut"/>
    <w:rPr>
      <w:rFonts w:ascii="Lucida Grande" w:hAnsi="Lucida Grande" w:cs="Lucida Grande"/>
      <w:sz w:val="18"/>
      <w:szCs w:val="18"/>
    </w:rPr>
  </w:style>
  <w:style w:type="character" w:styleId="Marquedecommentaire">
    <w:name w:val="annotation reference"/>
    <w:basedOn w:val="Policepardfaut"/>
    <w:rPr>
      <w:sz w:val="18"/>
      <w:szCs w:val="18"/>
    </w:rPr>
  </w:style>
  <w:style w:type="character" w:customStyle="1" w:styleId="CommentTextChar">
    <w:name w:val="Comment Text Char"/>
    <w:basedOn w:val="Policepardfaut"/>
    <w:rPr>
      <w:sz w:val="24"/>
      <w:szCs w:val="24"/>
    </w:rPr>
  </w:style>
  <w:style w:type="character" w:customStyle="1" w:styleId="CommentSubjectChar">
    <w:name w:val="Comment Subject Char"/>
    <w:basedOn w:val="CommentTextChar"/>
    <w:rPr>
      <w:b/>
      <w:bCs/>
      <w:sz w:val="20"/>
      <w:szCs w:val="20"/>
    </w:rPr>
  </w:style>
  <w:style w:type="character" w:customStyle="1" w:styleId="ListLabel1">
    <w:name w:val="ListLabel 1"/>
    <w:rPr>
      <w:rFonts w:cs="Arial"/>
    </w:rPr>
  </w:style>
  <w:style w:type="character" w:customStyle="1" w:styleId="ListLabel2">
    <w:name w:val="ListLabel 2"/>
    <w:rPr>
      <w:rFonts w:cs="Courier New"/>
    </w:rPr>
  </w:style>
  <w:style w:type="character" w:customStyle="1" w:styleId="ListLabel3">
    <w:name w:val="ListLabel 3"/>
    <w:rPr>
      <w:rFonts w:cs="Calibri"/>
    </w:rPr>
  </w:style>
  <w:style w:type="character" w:customStyle="1" w:styleId="ListLabel4">
    <w:name w:val="ListLabel 4"/>
    <w:rPr>
      <w:rFonts w:eastAsia="Calibri" w:cs="Calibri"/>
    </w:rPr>
  </w:style>
  <w:style w:type="character" w:customStyle="1" w:styleId="ListLabel5">
    <w:name w:val="ListLabel 5"/>
    <w:rPr>
      <w:rFonts w:eastAsia="Calibri" w:cs="Arial"/>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2922</Words>
  <Characters>16071</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Croix-Rouge Luxembourg</Company>
  <LinksUpToDate>false</LinksUpToDate>
  <CharactersWithSpaces>18956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Mameli, Ilaria</dc:creator>
  <cp:lastModifiedBy>Fevrier, Nicolas</cp:lastModifiedBy>
  <cp:revision>4</cp:revision>
  <dcterms:created xsi:type="dcterms:W3CDTF">2020-01-23T13:06:00Z</dcterms:created>
  <dcterms:modified xsi:type="dcterms:W3CDTF">2020-07-13T10:04:00Z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Croix-Rouge Luxembourg</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