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E749709" w14:textId="76EB1C3A" w:rsidR="00AE655A" w:rsidRDefault="00AE655A" w:rsidP="00AE655A"/>
    <w:p w14:paraId="37FA71EF" w14:textId="77777777" w:rsidR="002801C0" w:rsidRDefault="002801C0" w:rsidP="00AE655A"/>
    <w:p w14:paraId="71068D3B" w14:textId="007CF85A" w:rsidR="00CE4A38" w:rsidRPr="002F38FC" w:rsidRDefault="00CE55E8" w:rsidP="002F38FC">
      <w:pPr>
        <w:pStyle w:val="Title"/>
      </w:pPr>
      <w:r w:rsidRPr="002F38FC">
        <w:t>Comment mener un processus de planification d’urgence ?</w:t>
      </w:r>
    </w:p>
    <w:p w14:paraId="2BD7C02E" w14:textId="16C5A27D" w:rsidR="00CE4A38" w:rsidRDefault="00CE4A38" w:rsidP="00CE4A38"/>
    <w:p w14:paraId="36F7644F" w14:textId="77777777" w:rsidR="000B21E2" w:rsidRDefault="000B21E2" w:rsidP="00CE4A38"/>
    <w:p w14:paraId="7E71CA11" w14:textId="5208C3E7" w:rsidR="00F96BDA" w:rsidRDefault="00E67461">
      <w:pPr>
        <w:pStyle w:val="TOC1"/>
        <w:rPr>
          <w:rFonts w:asciiTheme="minorHAnsi" w:eastAsiaTheme="minorEastAsia" w:hAnsiTheme="minorHAnsi" w:cstheme="minorBidi"/>
          <w:b w:val="0"/>
          <w:color w:val="auto"/>
          <w:sz w:val="22"/>
          <w:lang w:val="en-GB" w:eastAsia="en-GB"/>
        </w:rPr>
      </w:pPr>
      <w:r>
        <w:rPr>
          <w:bCs/>
          <w:i/>
          <w:color w:val="DC281E"/>
          <w:sz w:val="28"/>
          <w:szCs w:val="28"/>
        </w:rPr>
        <w:fldChar w:fldCharType="begin"/>
      </w:r>
      <w:r>
        <w:rPr>
          <w:bCs/>
        </w:rPr>
        <w:instrText xml:space="preserve"> TOC \o "1-3" \h \z \u </w:instrText>
      </w:r>
      <w:r>
        <w:rPr>
          <w:bCs/>
          <w:i/>
          <w:color w:val="DC281E"/>
          <w:sz w:val="28"/>
          <w:szCs w:val="28"/>
        </w:rPr>
        <w:fldChar w:fldCharType="separate"/>
      </w:r>
      <w:hyperlink w:anchor="_Toc59440480" w:history="1">
        <w:r w:rsidR="00F96BDA" w:rsidRPr="00E86FBE">
          <w:rPr>
            <w:rStyle w:val="Hyperlink"/>
          </w:rPr>
          <w:t>Présentation</w:t>
        </w:r>
        <w:r w:rsidR="00F96BDA">
          <w:rPr>
            <w:webHidden/>
          </w:rPr>
          <w:tab/>
        </w:r>
        <w:r w:rsidR="00F96BDA">
          <w:rPr>
            <w:webHidden/>
          </w:rPr>
          <w:fldChar w:fldCharType="begin"/>
        </w:r>
        <w:r w:rsidR="00F96BDA">
          <w:rPr>
            <w:webHidden/>
          </w:rPr>
          <w:instrText xml:space="preserve"> PAGEREF _Toc59440480 \h </w:instrText>
        </w:r>
        <w:r w:rsidR="00F96BDA">
          <w:rPr>
            <w:webHidden/>
          </w:rPr>
        </w:r>
        <w:r w:rsidR="00F96BDA">
          <w:rPr>
            <w:webHidden/>
          </w:rPr>
          <w:fldChar w:fldCharType="separate"/>
        </w:r>
        <w:r w:rsidR="000B21E2">
          <w:rPr>
            <w:webHidden/>
          </w:rPr>
          <w:t>2</w:t>
        </w:r>
        <w:r w:rsidR="00F96BDA">
          <w:rPr>
            <w:webHidden/>
          </w:rPr>
          <w:fldChar w:fldCharType="end"/>
        </w:r>
      </w:hyperlink>
    </w:p>
    <w:p w14:paraId="6E61EA54" w14:textId="4B237EDD" w:rsidR="00F96BDA" w:rsidRDefault="000B21E2" w:rsidP="0085076F">
      <w:pPr>
        <w:pStyle w:val="TOC2"/>
        <w:rPr>
          <w:rFonts w:asciiTheme="minorHAnsi" w:eastAsiaTheme="minorEastAsia" w:hAnsiTheme="minorHAnsi" w:cstheme="minorBidi"/>
          <w:noProof/>
          <w:color w:val="auto"/>
          <w:sz w:val="22"/>
          <w:lang w:val="en-GB" w:eastAsia="en-GB"/>
        </w:rPr>
      </w:pPr>
      <w:hyperlink w:anchor="_Toc59440481" w:history="1">
        <w:r w:rsidR="00F96BDA" w:rsidRPr="00E86FBE">
          <w:rPr>
            <w:rStyle w:val="Hyperlink"/>
            <w:noProof/>
          </w:rPr>
          <w:t>Quel est l’objectif de ce document et comment l’utiliser ?</w:t>
        </w:r>
        <w:r w:rsidR="00F96BDA">
          <w:rPr>
            <w:noProof/>
            <w:webHidden/>
          </w:rPr>
          <w:tab/>
        </w:r>
        <w:r w:rsidR="00F96BDA">
          <w:rPr>
            <w:noProof/>
            <w:webHidden/>
          </w:rPr>
          <w:fldChar w:fldCharType="begin"/>
        </w:r>
        <w:r w:rsidR="00F96BDA">
          <w:rPr>
            <w:noProof/>
            <w:webHidden/>
          </w:rPr>
          <w:instrText xml:space="preserve"> PAGEREF _Toc59440481 \h </w:instrText>
        </w:r>
        <w:r w:rsidR="00F96BDA">
          <w:rPr>
            <w:noProof/>
            <w:webHidden/>
          </w:rPr>
        </w:r>
        <w:r w:rsidR="00F96BDA">
          <w:rPr>
            <w:noProof/>
            <w:webHidden/>
          </w:rPr>
          <w:fldChar w:fldCharType="separate"/>
        </w:r>
        <w:r>
          <w:rPr>
            <w:noProof/>
            <w:webHidden/>
          </w:rPr>
          <w:t>2</w:t>
        </w:r>
        <w:r w:rsidR="00F96BDA">
          <w:rPr>
            <w:noProof/>
            <w:webHidden/>
          </w:rPr>
          <w:fldChar w:fldCharType="end"/>
        </w:r>
      </w:hyperlink>
    </w:p>
    <w:p w14:paraId="3D6797F8" w14:textId="49D5673A" w:rsidR="00F96BDA" w:rsidRDefault="000B21E2" w:rsidP="0085076F">
      <w:pPr>
        <w:pStyle w:val="TOC2"/>
        <w:rPr>
          <w:rFonts w:asciiTheme="minorHAnsi" w:eastAsiaTheme="minorEastAsia" w:hAnsiTheme="minorHAnsi" w:cstheme="minorBidi"/>
          <w:noProof/>
          <w:color w:val="auto"/>
          <w:sz w:val="22"/>
          <w:lang w:val="en-GB" w:eastAsia="en-GB"/>
        </w:rPr>
      </w:pPr>
      <w:hyperlink w:anchor="_Toc59440482" w:history="1">
        <w:r w:rsidR="00F96BDA" w:rsidRPr="00E86FBE">
          <w:rPr>
            <w:rStyle w:val="Hyperlink"/>
            <w:noProof/>
          </w:rPr>
          <w:t xml:space="preserve">Plans de réponse ou </w:t>
        </w:r>
        <w:r w:rsidR="00082ED0">
          <w:rPr>
            <w:rStyle w:val="Hyperlink"/>
            <w:noProof/>
            <w:lang w:val="en-CH"/>
          </w:rPr>
          <w:t>p</w:t>
        </w:r>
        <w:r w:rsidR="00F96BDA" w:rsidRPr="00E86FBE">
          <w:rPr>
            <w:rStyle w:val="Hyperlink"/>
            <w:noProof/>
          </w:rPr>
          <w:t xml:space="preserve">lan de </w:t>
        </w:r>
        <w:r w:rsidR="00082ED0">
          <w:rPr>
            <w:rStyle w:val="Hyperlink"/>
            <w:noProof/>
            <w:lang w:val="en-CH"/>
          </w:rPr>
          <w:t>c</w:t>
        </w:r>
        <w:r w:rsidR="00F96BDA" w:rsidRPr="00E86FBE">
          <w:rPr>
            <w:rStyle w:val="Hyperlink"/>
            <w:noProof/>
          </w:rPr>
          <w:t>ontingence ?</w:t>
        </w:r>
        <w:r w:rsidR="00F96BDA">
          <w:rPr>
            <w:noProof/>
            <w:webHidden/>
          </w:rPr>
          <w:tab/>
        </w:r>
        <w:r w:rsidR="00F96BDA">
          <w:rPr>
            <w:noProof/>
            <w:webHidden/>
          </w:rPr>
          <w:fldChar w:fldCharType="begin"/>
        </w:r>
        <w:r w:rsidR="00F96BDA">
          <w:rPr>
            <w:noProof/>
            <w:webHidden/>
          </w:rPr>
          <w:instrText xml:space="preserve"> PAGEREF _Toc59440482 \h </w:instrText>
        </w:r>
        <w:r w:rsidR="00F96BDA">
          <w:rPr>
            <w:noProof/>
            <w:webHidden/>
          </w:rPr>
        </w:r>
        <w:r w:rsidR="00F96BDA">
          <w:rPr>
            <w:noProof/>
            <w:webHidden/>
          </w:rPr>
          <w:fldChar w:fldCharType="separate"/>
        </w:r>
        <w:r>
          <w:rPr>
            <w:noProof/>
            <w:webHidden/>
          </w:rPr>
          <w:t>2</w:t>
        </w:r>
        <w:r w:rsidR="00F96BDA">
          <w:rPr>
            <w:noProof/>
            <w:webHidden/>
          </w:rPr>
          <w:fldChar w:fldCharType="end"/>
        </w:r>
      </w:hyperlink>
    </w:p>
    <w:p w14:paraId="4A3DDDE2" w14:textId="7B1BA529" w:rsidR="00F96BDA" w:rsidRDefault="000B21E2" w:rsidP="0085076F">
      <w:pPr>
        <w:pStyle w:val="TOC2"/>
        <w:rPr>
          <w:rFonts w:asciiTheme="minorHAnsi" w:eastAsiaTheme="minorEastAsia" w:hAnsiTheme="minorHAnsi" w:cstheme="minorBidi"/>
          <w:noProof/>
          <w:color w:val="auto"/>
          <w:sz w:val="22"/>
          <w:lang w:val="en-GB" w:eastAsia="en-GB"/>
        </w:rPr>
      </w:pPr>
      <w:hyperlink w:anchor="_Toc59440483" w:history="1">
        <w:r w:rsidR="00F96BDA" w:rsidRPr="00E86FBE">
          <w:rPr>
            <w:rStyle w:val="Hyperlink"/>
            <w:noProof/>
          </w:rPr>
          <w:t>Le processus est plus important que le plan lui-même</w:t>
        </w:r>
        <w:r w:rsidR="00F96BDA">
          <w:rPr>
            <w:noProof/>
            <w:webHidden/>
          </w:rPr>
          <w:tab/>
        </w:r>
        <w:r w:rsidR="00F96BDA">
          <w:rPr>
            <w:noProof/>
            <w:webHidden/>
          </w:rPr>
          <w:fldChar w:fldCharType="begin"/>
        </w:r>
        <w:r w:rsidR="00F96BDA">
          <w:rPr>
            <w:noProof/>
            <w:webHidden/>
          </w:rPr>
          <w:instrText xml:space="preserve"> PAGEREF _Toc59440483 \h </w:instrText>
        </w:r>
        <w:r w:rsidR="00F96BDA">
          <w:rPr>
            <w:noProof/>
            <w:webHidden/>
          </w:rPr>
        </w:r>
        <w:r w:rsidR="00F96BDA">
          <w:rPr>
            <w:noProof/>
            <w:webHidden/>
          </w:rPr>
          <w:fldChar w:fldCharType="separate"/>
        </w:r>
        <w:r>
          <w:rPr>
            <w:noProof/>
            <w:webHidden/>
          </w:rPr>
          <w:t>2</w:t>
        </w:r>
        <w:r w:rsidR="00F96BDA">
          <w:rPr>
            <w:noProof/>
            <w:webHidden/>
          </w:rPr>
          <w:fldChar w:fldCharType="end"/>
        </w:r>
      </w:hyperlink>
    </w:p>
    <w:p w14:paraId="42760A4F" w14:textId="11CE506B" w:rsidR="00F96BDA" w:rsidRDefault="000B21E2" w:rsidP="0085076F">
      <w:pPr>
        <w:pStyle w:val="TOC2"/>
        <w:rPr>
          <w:rFonts w:asciiTheme="minorHAnsi" w:eastAsiaTheme="minorEastAsia" w:hAnsiTheme="minorHAnsi" w:cstheme="minorBidi"/>
          <w:noProof/>
          <w:color w:val="auto"/>
          <w:sz w:val="22"/>
          <w:lang w:val="en-GB" w:eastAsia="en-GB"/>
        </w:rPr>
      </w:pPr>
      <w:hyperlink w:anchor="_Toc59440484" w:history="1">
        <w:r w:rsidR="00F96BDA" w:rsidRPr="00E86FBE">
          <w:rPr>
            <w:rStyle w:val="Hyperlink"/>
            <w:noProof/>
          </w:rPr>
          <w:t xml:space="preserve">La coordination avec les partenaires nationaux et ceux du Mouvement de la Croix-Rouge </w:t>
        </w:r>
        <w:r w:rsidR="0085076F">
          <w:rPr>
            <w:rStyle w:val="Hyperlink"/>
            <w:noProof/>
          </w:rPr>
          <w:br/>
        </w:r>
        <w:r w:rsidR="00F96BDA" w:rsidRPr="00E86FBE">
          <w:rPr>
            <w:rStyle w:val="Hyperlink"/>
            <w:noProof/>
          </w:rPr>
          <w:t>et du Croissant-Rouge est essentielle.</w:t>
        </w:r>
        <w:r w:rsidR="00F96BDA">
          <w:rPr>
            <w:noProof/>
            <w:webHidden/>
          </w:rPr>
          <w:tab/>
        </w:r>
        <w:r w:rsidR="00F96BDA">
          <w:rPr>
            <w:noProof/>
            <w:webHidden/>
          </w:rPr>
          <w:fldChar w:fldCharType="begin"/>
        </w:r>
        <w:r w:rsidR="00F96BDA">
          <w:rPr>
            <w:noProof/>
            <w:webHidden/>
          </w:rPr>
          <w:instrText xml:space="preserve"> PAGEREF _Toc59440484 \h </w:instrText>
        </w:r>
        <w:r w:rsidR="00F96BDA">
          <w:rPr>
            <w:noProof/>
            <w:webHidden/>
          </w:rPr>
        </w:r>
        <w:r w:rsidR="00F96BDA">
          <w:rPr>
            <w:noProof/>
            <w:webHidden/>
          </w:rPr>
          <w:fldChar w:fldCharType="separate"/>
        </w:r>
        <w:r>
          <w:rPr>
            <w:noProof/>
            <w:webHidden/>
          </w:rPr>
          <w:t>3</w:t>
        </w:r>
        <w:r w:rsidR="00F96BDA">
          <w:rPr>
            <w:noProof/>
            <w:webHidden/>
          </w:rPr>
          <w:fldChar w:fldCharType="end"/>
        </w:r>
      </w:hyperlink>
    </w:p>
    <w:p w14:paraId="45763F0F" w14:textId="0986E949" w:rsidR="00F96BDA" w:rsidRDefault="000B21E2" w:rsidP="0085076F">
      <w:pPr>
        <w:pStyle w:val="TOC2"/>
        <w:rPr>
          <w:rFonts w:asciiTheme="minorHAnsi" w:eastAsiaTheme="minorEastAsia" w:hAnsiTheme="minorHAnsi" w:cstheme="minorBidi"/>
          <w:noProof/>
          <w:color w:val="auto"/>
          <w:sz w:val="22"/>
          <w:lang w:val="en-GB" w:eastAsia="en-GB"/>
        </w:rPr>
      </w:pPr>
      <w:hyperlink w:anchor="_Toc59440485" w:history="1">
        <w:r w:rsidR="00F96BDA" w:rsidRPr="00E86FBE">
          <w:rPr>
            <w:rStyle w:val="Hyperlink"/>
            <w:noProof/>
          </w:rPr>
          <w:t>Importance de la coordination des processus et des initiatives</w:t>
        </w:r>
        <w:r w:rsidR="00F96BDA">
          <w:rPr>
            <w:noProof/>
            <w:webHidden/>
          </w:rPr>
          <w:tab/>
        </w:r>
        <w:r w:rsidR="00F96BDA">
          <w:rPr>
            <w:noProof/>
            <w:webHidden/>
          </w:rPr>
          <w:fldChar w:fldCharType="begin"/>
        </w:r>
        <w:r w:rsidR="00F96BDA">
          <w:rPr>
            <w:noProof/>
            <w:webHidden/>
          </w:rPr>
          <w:instrText xml:space="preserve"> PAGEREF _Toc59440485 \h </w:instrText>
        </w:r>
        <w:r w:rsidR="00F96BDA">
          <w:rPr>
            <w:noProof/>
            <w:webHidden/>
          </w:rPr>
        </w:r>
        <w:r w:rsidR="00F96BDA">
          <w:rPr>
            <w:noProof/>
            <w:webHidden/>
          </w:rPr>
          <w:fldChar w:fldCharType="separate"/>
        </w:r>
        <w:r>
          <w:rPr>
            <w:noProof/>
            <w:webHidden/>
          </w:rPr>
          <w:t>3</w:t>
        </w:r>
        <w:r w:rsidR="00F96BDA">
          <w:rPr>
            <w:noProof/>
            <w:webHidden/>
          </w:rPr>
          <w:fldChar w:fldCharType="end"/>
        </w:r>
      </w:hyperlink>
    </w:p>
    <w:p w14:paraId="645DEB6D" w14:textId="2753D6B6" w:rsidR="00F96BDA" w:rsidRDefault="000B21E2">
      <w:pPr>
        <w:pStyle w:val="TOC1"/>
        <w:rPr>
          <w:rFonts w:asciiTheme="minorHAnsi" w:eastAsiaTheme="minorEastAsia" w:hAnsiTheme="minorHAnsi" w:cstheme="minorBidi"/>
          <w:b w:val="0"/>
          <w:color w:val="auto"/>
          <w:sz w:val="22"/>
          <w:lang w:val="en-GB" w:eastAsia="en-GB"/>
        </w:rPr>
      </w:pPr>
      <w:hyperlink w:anchor="_Toc59440486" w:history="1">
        <w:r w:rsidR="00F96BDA" w:rsidRPr="00E86FBE">
          <w:rPr>
            <w:rStyle w:val="Hyperlink"/>
          </w:rPr>
          <w:t>Éléments clés du processus de planification d’urgence</w:t>
        </w:r>
        <w:r w:rsidR="00F96BDA">
          <w:rPr>
            <w:webHidden/>
          </w:rPr>
          <w:tab/>
        </w:r>
        <w:r w:rsidR="00F96BDA">
          <w:rPr>
            <w:webHidden/>
          </w:rPr>
          <w:fldChar w:fldCharType="begin"/>
        </w:r>
        <w:r w:rsidR="00F96BDA">
          <w:rPr>
            <w:webHidden/>
          </w:rPr>
          <w:instrText xml:space="preserve"> PAGEREF _Toc59440486 \h </w:instrText>
        </w:r>
        <w:r w:rsidR="00F96BDA">
          <w:rPr>
            <w:webHidden/>
          </w:rPr>
        </w:r>
        <w:r w:rsidR="00F96BDA">
          <w:rPr>
            <w:webHidden/>
          </w:rPr>
          <w:fldChar w:fldCharType="separate"/>
        </w:r>
        <w:r>
          <w:rPr>
            <w:webHidden/>
          </w:rPr>
          <w:t>5</w:t>
        </w:r>
        <w:r w:rsidR="00F96BDA">
          <w:rPr>
            <w:webHidden/>
          </w:rPr>
          <w:fldChar w:fldCharType="end"/>
        </w:r>
      </w:hyperlink>
    </w:p>
    <w:p w14:paraId="021DB1A8" w14:textId="4821CF3A" w:rsidR="00F96BDA" w:rsidRDefault="000B21E2">
      <w:pPr>
        <w:pStyle w:val="TOC1"/>
        <w:rPr>
          <w:rFonts w:asciiTheme="minorHAnsi" w:eastAsiaTheme="minorEastAsia" w:hAnsiTheme="minorHAnsi" w:cstheme="minorBidi"/>
          <w:b w:val="0"/>
          <w:color w:val="auto"/>
          <w:sz w:val="22"/>
          <w:lang w:val="en-GB" w:eastAsia="en-GB"/>
        </w:rPr>
      </w:pPr>
      <w:hyperlink w:anchor="_Toc59440487" w:history="1">
        <w:r w:rsidR="00F96BDA" w:rsidRPr="00E86FBE">
          <w:rPr>
            <w:rStyle w:val="Hyperlink"/>
          </w:rPr>
          <w:t>Préparer</w:t>
        </w:r>
        <w:r w:rsidR="00F96BDA">
          <w:rPr>
            <w:webHidden/>
          </w:rPr>
          <w:tab/>
        </w:r>
        <w:r w:rsidR="00F96BDA">
          <w:rPr>
            <w:webHidden/>
          </w:rPr>
          <w:fldChar w:fldCharType="begin"/>
        </w:r>
        <w:r w:rsidR="00F96BDA">
          <w:rPr>
            <w:webHidden/>
          </w:rPr>
          <w:instrText xml:space="preserve"> PAGEREF _Toc59440487 \h </w:instrText>
        </w:r>
        <w:r w:rsidR="00F96BDA">
          <w:rPr>
            <w:webHidden/>
          </w:rPr>
        </w:r>
        <w:r w:rsidR="00F96BDA">
          <w:rPr>
            <w:webHidden/>
          </w:rPr>
          <w:fldChar w:fldCharType="separate"/>
        </w:r>
        <w:r>
          <w:rPr>
            <w:webHidden/>
          </w:rPr>
          <w:t>6</w:t>
        </w:r>
        <w:r w:rsidR="00F96BDA">
          <w:rPr>
            <w:webHidden/>
          </w:rPr>
          <w:fldChar w:fldCharType="end"/>
        </w:r>
      </w:hyperlink>
    </w:p>
    <w:p w14:paraId="48353393" w14:textId="234C74C6" w:rsidR="00F96BDA" w:rsidRDefault="000B21E2">
      <w:pPr>
        <w:pStyle w:val="TOC1"/>
        <w:rPr>
          <w:rFonts w:asciiTheme="minorHAnsi" w:eastAsiaTheme="minorEastAsia" w:hAnsiTheme="minorHAnsi" w:cstheme="minorBidi"/>
          <w:b w:val="0"/>
          <w:color w:val="auto"/>
          <w:sz w:val="22"/>
          <w:lang w:val="en-GB" w:eastAsia="en-GB"/>
        </w:rPr>
      </w:pPr>
      <w:hyperlink w:anchor="_Toc59440488" w:history="1">
        <w:r w:rsidR="00F96BDA" w:rsidRPr="00E86FBE">
          <w:rPr>
            <w:rStyle w:val="Hyperlink"/>
          </w:rPr>
          <w:t>Analyser</w:t>
        </w:r>
        <w:r w:rsidR="00F96BDA">
          <w:rPr>
            <w:webHidden/>
          </w:rPr>
          <w:tab/>
        </w:r>
        <w:r w:rsidR="00F96BDA">
          <w:rPr>
            <w:webHidden/>
          </w:rPr>
          <w:fldChar w:fldCharType="begin"/>
        </w:r>
        <w:r w:rsidR="00F96BDA">
          <w:rPr>
            <w:webHidden/>
          </w:rPr>
          <w:instrText xml:space="preserve"> PAGEREF _Toc59440488 \h </w:instrText>
        </w:r>
        <w:r w:rsidR="00F96BDA">
          <w:rPr>
            <w:webHidden/>
          </w:rPr>
        </w:r>
        <w:r w:rsidR="00F96BDA">
          <w:rPr>
            <w:webHidden/>
          </w:rPr>
          <w:fldChar w:fldCharType="separate"/>
        </w:r>
        <w:r>
          <w:rPr>
            <w:webHidden/>
          </w:rPr>
          <w:t>7</w:t>
        </w:r>
        <w:r w:rsidR="00F96BDA">
          <w:rPr>
            <w:webHidden/>
          </w:rPr>
          <w:fldChar w:fldCharType="end"/>
        </w:r>
      </w:hyperlink>
    </w:p>
    <w:p w14:paraId="3C087B6D" w14:textId="74844742" w:rsidR="00F96BDA" w:rsidRDefault="000B21E2">
      <w:pPr>
        <w:pStyle w:val="TOC1"/>
        <w:rPr>
          <w:rFonts w:asciiTheme="minorHAnsi" w:eastAsiaTheme="minorEastAsia" w:hAnsiTheme="minorHAnsi" w:cstheme="minorBidi"/>
          <w:b w:val="0"/>
          <w:color w:val="auto"/>
          <w:sz w:val="22"/>
          <w:lang w:val="en-GB" w:eastAsia="en-GB"/>
        </w:rPr>
      </w:pPr>
      <w:hyperlink w:anchor="_Toc59440489" w:history="1">
        <w:r w:rsidR="00F96BDA" w:rsidRPr="00E86FBE">
          <w:rPr>
            <w:rStyle w:val="Hyperlink"/>
          </w:rPr>
          <w:t>Développer</w:t>
        </w:r>
        <w:r w:rsidR="00F96BDA">
          <w:rPr>
            <w:webHidden/>
          </w:rPr>
          <w:tab/>
        </w:r>
        <w:r w:rsidR="00F96BDA">
          <w:rPr>
            <w:webHidden/>
          </w:rPr>
          <w:fldChar w:fldCharType="begin"/>
        </w:r>
        <w:r w:rsidR="00F96BDA">
          <w:rPr>
            <w:webHidden/>
          </w:rPr>
          <w:instrText xml:space="preserve"> PAGEREF _Toc59440489 \h </w:instrText>
        </w:r>
        <w:r w:rsidR="00F96BDA">
          <w:rPr>
            <w:webHidden/>
          </w:rPr>
        </w:r>
        <w:r w:rsidR="00F96BDA">
          <w:rPr>
            <w:webHidden/>
          </w:rPr>
          <w:fldChar w:fldCharType="separate"/>
        </w:r>
        <w:r>
          <w:rPr>
            <w:webHidden/>
          </w:rPr>
          <w:t>8</w:t>
        </w:r>
        <w:r w:rsidR="00F96BDA">
          <w:rPr>
            <w:webHidden/>
          </w:rPr>
          <w:fldChar w:fldCharType="end"/>
        </w:r>
      </w:hyperlink>
    </w:p>
    <w:p w14:paraId="2C73DA18" w14:textId="2126BF4E" w:rsidR="00F96BDA" w:rsidRDefault="000B21E2">
      <w:pPr>
        <w:pStyle w:val="TOC1"/>
        <w:rPr>
          <w:rFonts w:asciiTheme="minorHAnsi" w:eastAsiaTheme="minorEastAsia" w:hAnsiTheme="minorHAnsi" w:cstheme="minorBidi"/>
          <w:b w:val="0"/>
          <w:color w:val="auto"/>
          <w:sz w:val="22"/>
          <w:lang w:val="en-GB" w:eastAsia="en-GB"/>
        </w:rPr>
      </w:pPr>
      <w:hyperlink w:anchor="_Toc59440490" w:history="1">
        <w:r w:rsidR="00F96BDA" w:rsidRPr="00E86FBE">
          <w:rPr>
            <w:rStyle w:val="Hyperlink"/>
          </w:rPr>
          <w:t>Implémenter</w:t>
        </w:r>
        <w:r w:rsidR="00F96BDA">
          <w:rPr>
            <w:webHidden/>
          </w:rPr>
          <w:tab/>
        </w:r>
        <w:r w:rsidR="00F96BDA">
          <w:rPr>
            <w:webHidden/>
          </w:rPr>
          <w:fldChar w:fldCharType="begin"/>
        </w:r>
        <w:r w:rsidR="00F96BDA">
          <w:rPr>
            <w:webHidden/>
          </w:rPr>
          <w:instrText xml:space="preserve"> PAGEREF _Toc59440490 \h </w:instrText>
        </w:r>
        <w:r w:rsidR="00F96BDA">
          <w:rPr>
            <w:webHidden/>
          </w:rPr>
        </w:r>
        <w:r w:rsidR="00F96BDA">
          <w:rPr>
            <w:webHidden/>
          </w:rPr>
          <w:fldChar w:fldCharType="separate"/>
        </w:r>
        <w:r>
          <w:rPr>
            <w:webHidden/>
          </w:rPr>
          <w:t>9</w:t>
        </w:r>
        <w:r w:rsidR="00F96BDA">
          <w:rPr>
            <w:webHidden/>
          </w:rPr>
          <w:fldChar w:fldCharType="end"/>
        </w:r>
      </w:hyperlink>
    </w:p>
    <w:p w14:paraId="738287DB" w14:textId="1F234421" w:rsidR="00F96BDA" w:rsidRDefault="000B21E2">
      <w:pPr>
        <w:pStyle w:val="TOC1"/>
        <w:rPr>
          <w:rFonts w:asciiTheme="minorHAnsi" w:eastAsiaTheme="minorEastAsia" w:hAnsiTheme="minorHAnsi" w:cstheme="minorBidi"/>
          <w:b w:val="0"/>
          <w:color w:val="auto"/>
          <w:sz w:val="22"/>
          <w:lang w:val="en-GB" w:eastAsia="en-GB"/>
        </w:rPr>
      </w:pPr>
      <w:hyperlink w:anchor="_Toc59440491" w:history="1">
        <w:r w:rsidR="00F96BDA" w:rsidRPr="00E86FBE">
          <w:rPr>
            <w:rStyle w:val="Hyperlink"/>
          </w:rPr>
          <w:t>Réviser</w:t>
        </w:r>
        <w:r w:rsidR="00F96BDA">
          <w:rPr>
            <w:webHidden/>
          </w:rPr>
          <w:tab/>
        </w:r>
        <w:r w:rsidR="00F96BDA">
          <w:rPr>
            <w:webHidden/>
          </w:rPr>
          <w:fldChar w:fldCharType="begin"/>
        </w:r>
        <w:r w:rsidR="00F96BDA">
          <w:rPr>
            <w:webHidden/>
          </w:rPr>
          <w:instrText xml:space="preserve"> PAGEREF _Toc59440491 \h </w:instrText>
        </w:r>
        <w:r w:rsidR="00F96BDA">
          <w:rPr>
            <w:webHidden/>
          </w:rPr>
        </w:r>
        <w:r w:rsidR="00F96BDA">
          <w:rPr>
            <w:webHidden/>
          </w:rPr>
          <w:fldChar w:fldCharType="separate"/>
        </w:r>
        <w:r>
          <w:rPr>
            <w:webHidden/>
          </w:rPr>
          <w:t>10</w:t>
        </w:r>
        <w:r w:rsidR="00F96BDA">
          <w:rPr>
            <w:webHidden/>
          </w:rPr>
          <w:fldChar w:fldCharType="end"/>
        </w:r>
      </w:hyperlink>
    </w:p>
    <w:p w14:paraId="71A2E526" w14:textId="7B55CEF5" w:rsidR="00F96BDA" w:rsidRDefault="000B21E2">
      <w:pPr>
        <w:pStyle w:val="TOC1"/>
        <w:rPr>
          <w:rFonts w:asciiTheme="minorHAnsi" w:eastAsiaTheme="minorEastAsia" w:hAnsiTheme="minorHAnsi" w:cstheme="minorBidi"/>
          <w:b w:val="0"/>
          <w:color w:val="auto"/>
          <w:sz w:val="22"/>
          <w:lang w:val="en-GB" w:eastAsia="en-GB"/>
        </w:rPr>
      </w:pPr>
      <w:hyperlink w:anchor="_Toc59440492" w:history="1">
        <w:r w:rsidR="00F96BDA" w:rsidRPr="00E86FBE">
          <w:rPr>
            <w:rStyle w:val="Hyperlink"/>
          </w:rPr>
          <w:t>Annexe 1 - Outils de la phase de préparation</w:t>
        </w:r>
        <w:r w:rsidR="00F96BDA">
          <w:rPr>
            <w:webHidden/>
          </w:rPr>
          <w:tab/>
        </w:r>
        <w:r w:rsidR="00F96BDA">
          <w:rPr>
            <w:webHidden/>
          </w:rPr>
          <w:fldChar w:fldCharType="begin"/>
        </w:r>
        <w:r w:rsidR="00F96BDA">
          <w:rPr>
            <w:webHidden/>
          </w:rPr>
          <w:instrText xml:space="preserve"> PAGEREF _Toc59440492 \h </w:instrText>
        </w:r>
        <w:r w:rsidR="00F96BDA">
          <w:rPr>
            <w:webHidden/>
          </w:rPr>
        </w:r>
        <w:r w:rsidR="00F96BDA">
          <w:rPr>
            <w:webHidden/>
          </w:rPr>
          <w:fldChar w:fldCharType="separate"/>
        </w:r>
        <w:r>
          <w:rPr>
            <w:webHidden/>
          </w:rPr>
          <w:t>11</w:t>
        </w:r>
        <w:r w:rsidR="00F96BDA">
          <w:rPr>
            <w:webHidden/>
          </w:rPr>
          <w:fldChar w:fldCharType="end"/>
        </w:r>
      </w:hyperlink>
    </w:p>
    <w:p w14:paraId="113DE81B" w14:textId="57A1C282" w:rsidR="00F96BDA" w:rsidRDefault="000B21E2" w:rsidP="0085076F">
      <w:pPr>
        <w:pStyle w:val="TOC2"/>
        <w:rPr>
          <w:rFonts w:asciiTheme="minorHAnsi" w:eastAsiaTheme="minorEastAsia" w:hAnsiTheme="minorHAnsi" w:cstheme="minorBidi"/>
          <w:noProof/>
          <w:color w:val="auto"/>
          <w:sz w:val="22"/>
          <w:lang w:val="en-GB" w:eastAsia="en-GB"/>
        </w:rPr>
      </w:pPr>
      <w:hyperlink w:anchor="_Toc59440493" w:history="1">
        <w:r w:rsidR="00F96BDA" w:rsidRPr="00E86FBE">
          <w:rPr>
            <w:rStyle w:val="Hyperlink"/>
            <w:noProof/>
          </w:rPr>
          <w:t xml:space="preserve">Termes de Référence (TdR) pour le processus de planification d’urgence des </w:t>
        </w:r>
        <w:r w:rsidR="00711A83">
          <w:rPr>
            <w:rStyle w:val="Hyperlink"/>
            <w:noProof/>
          </w:rPr>
          <w:t>Sociétés nationales</w:t>
        </w:r>
        <w:r w:rsidR="00F96BDA">
          <w:rPr>
            <w:noProof/>
            <w:webHidden/>
          </w:rPr>
          <w:tab/>
        </w:r>
        <w:r w:rsidR="00F96BDA">
          <w:rPr>
            <w:noProof/>
            <w:webHidden/>
          </w:rPr>
          <w:fldChar w:fldCharType="begin"/>
        </w:r>
        <w:r w:rsidR="00F96BDA">
          <w:rPr>
            <w:noProof/>
            <w:webHidden/>
          </w:rPr>
          <w:instrText xml:space="preserve"> PAGEREF _Toc59440493 \h </w:instrText>
        </w:r>
        <w:r w:rsidR="00F96BDA">
          <w:rPr>
            <w:noProof/>
            <w:webHidden/>
          </w:rPr>
        </w:r>
        <w:r w:rsidR="00F96BDA">
          <w:rPr>
            <w:noProof/>
            <w:webHidden/>
          </w:rPr>
          <w:fldChar w:fldCharType="separate"/>
        </w:r>
        <w:r>
          <w:rPr>
            <w:noProof/>
            <w:webHidden/>
          </w:rPr>
          <w:t>11</w:t>
        </w:r>
        <w:r w:rsidR="00F96BDA">
          <w:rPr>
            <w:noProof/>
            <w:webHidden/>
          </w:rPr>
          <w:fldChar w:fldCharType="end"/>
        </w:r>
      </w:hyperlink>
    </w:p>
    <w:p w14:paraId="0EFE0CAF" w14:textId="6506101E" w:rsidR="00F96BDA" w:rsidRDefault="000B21E2">
      <w:pPr>
        <w:pStyle w:val="TOC3"/>
        <w:rPr>
          <w:rFonts w:asciiTheme="minorHAnsi" w:eastAsiaTheme="minorEastAsia" w:hAnsiTheme="minorHAnsi" w:cstheme="minorBidi"/>
          <w:color w:val="auto"/>
          <w:sz w:val="22"/>
          <w:szCs w:val="22"/>
          <w:lang w:val="en-GB" w:eastAsia="en-GB"/>
        </w:rPr>
      </w:pPr>
      <w:hyperlink w:anchor="_Toc59440494" w:history="1">
        <w:r w:rsidR="00F96BDA" w:rsidRPr="00E86FBE">
          <w:rPr>
            <w:rStyle w:val="Hyperlink"/>
          </w:rPr>
          <w:t>Contexte et historique</w:t>
        </w:r>
        <w:r w:rsidR="00F96BDA">
          <w:rPr>
            <w:webHidden/>
          </w:rPr>
          <w:tab/>
        </w:r>
        <w:r w:rsidR="00F96BDA">
          <w:rPr>
            <w:webHidden/>
          </w:rPr>
          <w:fldChar w:fldCharType="begin"/>
        </w:r>
        <w:r w:rsidR="00F96BDA">
          <w:rPr>
            <w:webHidden/>
          </w:rPr>
          <w:instrText xml:space="preserve"> PAGEREF _Toc59440494 \h </w:instrText>
        </w:r>
        <w:r w:rsidR="00F96BDA">
          <w:rPr>
            <w:webHidden/>
          </w:rPr>
        </w:r>
        <w:r w:rsidR="00F96BDA">
          <w:rPr>
            <w:webHidden/>
          </w:rPr>
          <w:fldChar w:fldCharType="separate"/>
        </w:r>
        <w:r>
          <w:rPr>
            <w:webHidden/>
          </w:rPr>
          <w:t>11</w:t>
        </w:r>
        <w:r w:rsidR="00F96BDA">
          <w:rPr>
            <w:webHidden/>
          </w:rPr>
          <w:fldChar w:fldCharType="end"/>
        </w:r>
      </w:hyperlink>
    </w:p>
    <w:p w14:paraId="433943E1" w14:textId="21F195A6" w:rsidR="00F96BDA" w:rsidRDefault="000B21E2">
      <w:pPr>
        <w:pStyle w:val="TOC3"/>
        <w:rPr>
          <w:rFonts w:asciiTheme="minorHAnsi" w:eastAsiaTheme="minorEastAsia" w:hAnsiTheme="minorHAnsi" w:cstheme="minorBidi"/>
          <w:color w:val="auto"/>
          <w:sz w:val="22"/>
          <w:szCs w:val="22"/>
          <w:lang w:val="en-GB" w:eastAsia="en-GB"/>
        </w:rPr>
      </w:pPr>
      <w:hyperlink w:anchor="_Toc59440495" w:history="1">
        <w:r w:rsidR="00F96BDA" w:rsidRPr="00E86FBE">
          <w:rPr>
            <w:rStyle w:val="Hyperlink"/>
          </w:rPr>
          <w:t>Tâches à accomplir </w:t>
        </w:r>
        <w:r w:rsidR="00F96BDA">
          <w:rPr>
            <w:webHidden/>
          </w:rPr>
          <w:tab/>
        </w:r>
        <w:r w:rsidR="00F96BDA">
          <w:rPr>
            <w:webHidden/>
          </w:rPr>
          <w:fldChar w:fldCharType="begin"/>
        </w:r>
        <w:r w:rsidR="00F96BDA">
          <w:rPr>
            <w:webHidden/>
          </w:rPr>
          <w:instrText xml:space="preserve"> PAGEREF _Toc59440495 \h </w:instrText>
        </w:r>
        <w:r w:rsidR="00F96BDA">
          <w:rPr>
            <w:webHidden/>
          </w:rPr>
        </w:r>
        <w:r w:rsidR="00F96BDA">
          <w:rPr>
            <w:webHidden/>
          </w:rPr>
          <w:fldChar w:fldCharType="separate"/>
        </w:r>
        <w:r>
          <w:rPr>
            <w:webHidden/>
          </w:rPr>
          <w:t>11</w:t>
        </w:r>
        <w:r w:rsidR="00F96BDA">
          <w:rPr>
            <w:webHidden/>
          </w:rPr>
          <w:fldChar w:fldCharType="end"/>
        </w:r>
      </w:hyperlink>
    </w:p>
    <w:p w14:paraId="06EDF252" w14:textId="029679AA" w:rsidR="00F96BDA" w:rsidRDefault="000B21E2">
      <w:pPr>
        <w:pStyle w:val="TOC3"/>
        <w:rPr>
          <w:rFonts w:asciiTheme="minorHAnsi" w:eastAsiaTheme="minorEastAsia" w:hAnsiTheme="minorHAnsi" w:cstheme="minorBidi"/>
          <w:color w:val="auto"/>
          <w:sz w:val="22"/>
          <w:szCs w:val="22"/>
          <w:lang w:val="en-GB" w:eastAsia="en-GB"/>
        </w:rPr>
      </w:pPr>
      <w:hyperlink w:anchor="_Toc59440496" w:history="1">
        <w:r w:rsidR="00F96BDA" w:rsidRPr="00E86FBE">
          <w:rPr>
            <w:rStyle w:val="Hyperlink"/>
          </w:rPr>
          <w:t>Rôle de l’équipe </w:t>
        </w:r>
        <w:r w:rsidR="00F96BDA">
          <w:rPr>
            <w:webHidden/>
          </w:rPr>
          <w:tab/>
        </w:r>
        <w:r w:rsidR="00F96BDA">
          <w:rPr>
            <w:webHidden/>
          </w:rPr>
          <w:fldChar w:fldCharType="begin"/>
        </w:r>
        <w:r w:rsidR="00F96BDA">
          <w:rPr>
            <w:webHidden/>
          </w:rPr>
          <w:instrText xml:space="preserve"> PAGEREF _Toc59440496 \h </w:instrText>
        </w:r>
        <w:r w:rsidR="00F96BDA">
          <w:rPr>
            <w:webHidden/>
          </w:rPr>
        </w:r>
        <w:r w:rsidR="00F96BDA">
          <w:rPr>
            <w:webHidden/>
          </w:rPr>
          <w:fldChar w:fldCharType="separate"/>
        </w:r>
        <w:r>
          <w:rPr>
            <w:webHidden/>
          </w:rPr>
          <w:t>11</w:t>
        </w:r>
        <w:r w:rsidR="00F96BDA">
          <w:rPr>
            <w:webHidden/>
          </w:rPr>
          <w:fldChar w:fldCharType="end"/>
        </w:r>
      </w:hyperlink>
    </w:p>
    <w:p w14:paraId="7175F69F" w14:textId="01018EB0" w:rsidR="00F96BDA" w:rsidRDefault="000B21E2">
      <w:pPr>
        <w:pStyle w:val="TOC3"/>
        <w:rPr>
          <w:rFonts w:asciiTheme="minorHAnsi" w:eastAsiaTheme="minorEastAsia" w:hAnsiTheme="minorHAnsi" w:cstheme="minorBidi"/>
          <w:color w:val="auto"/>
          <w:sz w:val="22"/>
          <w:szCs w:val="22"/>
          <w:lang w:val="en-GB" w:eastAsia="en-GB"/>
        </w:rPr>
      </w:pPr>
      <w:hyperlink w:anchor="_Toc59440497" w:history="1">
        <w:r w:rsidR="00F96BDA" w:rsidRPr="00E86FBE">
          <w:rPr>
            <w:rStyle w:val="Hyperlink"/>
          </w:rPr>
          <w:t>Calendrier et ressources</w:t>
        </w:r>
        <w:r w:rsidR="00F96BDA">
          <w:rPr>
            <w:webHidden/>
          </w:rPr>
          <w:tab/>
        </w:r>
        <w:r w:rsidR="00F96BDA">
          <w:rPr>
            <w:webHidden/>
          </w:rPr>
          <w:fldChar w:fldCharType="begin"/>
        </w:r>
        <w:r w:rsidR="00F96BDA">
          <w:rPr>
            <w:webHidden/>
          </w:rPr>
          <w:instrText xml:space="preserve"> PAGEREF _Toc59440497 \h </w:instrText>
        </w:r>
        <w:r w:rsidR="00F96BDA">
          <w:rPr>
            <w:webHidden/>
          </w:rPr>
        </w:r>
        <w:r w:rsidR="00F96BDA">
          <w:rPr>
            <w:webHidden/>
          </w:rPr>
          <w:fldChar w:fldCharType="separate"/>
        </w:r>
        <w:r>
          <w:rPr>
            <w:webHidden/>
          </w:rPr>
          <w:t>12</w:t>
        </w:r>
        <w:r w:rsidR="00F96BDA">
          <w:rPr>
            <w:webHidden/>
          </w:rPr>
          <w:fldChar w:fldCharType="end"/>
        </w:r>
      </w:hyperlink>
    </w:p>
    <w:p w14:paraId="558332DD" w14:textId="157BF951" w:rsidR="00F96BDA" w:rsidRDefault="000B21E2" w:rsidP="0085076F">
      <w:pPr>
        <w:pStyle w:val="TOC2"/>
        <w:rPr>
          <w:rFonts w:asciiTheme="minorHAnsi" w:eastAsiaTheme="minorEastAsia" w:hAnsiTheme="minorHAnsi" w:cstheme="minorBidi"/>
          <w:noProof/>
          <w:color w:val="auto"/>
          <w:sz w:val="22"/>
          <w:lang w:val="en-GB" w:eastAsia="en-GB"/>
        </w:rPr>
      </w:pPr>
      <w:hyperlink w:anchor="_Toc59440498" w:history="1">
        <w:r w:rsidR="00F96BDA" w:rsidRPr="00E86FBE">
          <w:rPr>
            <w:rStyle w:val="Hyperlink"/>
            <w:noProof/>
          </w:rPr>
          <w:t>Tableau de suivi des données</w:t>
        </w:r>
        <w:r w:rsidR="00F96BDA">
          <w:rPr>
            <w:noProof/>
            <w:webHidden/>
          </w:rPr>
          <w:tab/>
        </w:r>
        <w:r w:rsidR="00F96BDA">
          <w:rPr>
            <w:noProof/>
            <w:webHidden/>
          </w:rPr>
          <w:fldChar w:fldCharType="begin"/>
        </w:r>
        <w:r w:rsidR="00F96BDA">
          <w:rPr>
            <w:noProof/>
            <w:webHidden/>
          </w:rPr>
          <w:instrText xml:space="preserve"> PAGEREF _Toc59440498 \h </w:instrText>
        </w:r>
        <w:r w:rsidR="00F96BDA">
          <w:rPr>
            <w:noProof/>
            <w:webHidden/>
          </w:rPr>
        </w:r>
        <w:r w:rsidR="00F96BDA">
          <w:rPr>
            <w:noProof/>
            <w:webHidden/>
          </w:rPr>
          <w:fldChar w:fldCharType="separate"/>
        </w:r>
        <w:r>
          <w:rPr>
            <w:noProof/>
            <w:webHidden/>
          </w:rPr>
          <w:t>12</w:t>
        </w:r>
        <w:r w:rsidR="00F96BDA">
          <w:rPr>
            <w:noProof/>
            <w:webHidden/>
          </w:rPr>
          <w:fldChar w:fldCharType="end"/>
        </w:r>
      </w:hyperlink>
    </w:p>
    <w:p w14:paraId="254320ED" w14:textId="68B5664B" w:rsidR="00F96BDA" w:rsidRDefault="000B21E2" w:rsidP="0085076F">
      <w:pPr>
        <w:pStyle w:val="TOC2"/>
        <w:rPr>
          <w:rFonts w:asciiTheme="minorHAnsi" w:eastAsiaTheme="minorEastAsia" w:hAnsiTheme="minorHAnsi" w:cstheme="minorBidi"/>
          <w:noProof/>
          <w:color w:val="auto"/>
          <w:sz w:val="22"/>
          <w:lang w:val="en-GB" w:eastAsia="en-GB"/>
        </w:rPr>
      </w:pPr>
      <w:hyperlink w:anchor="_Toc59440499" w:history="1">
        <w:r w:rsidR="00F96BDA" w:rsidRPr="00E86FBE">
          <w:rPr>
            <w:rStyle w:val="Hyperlink"/>
            <w:noProof/>
          </w:rPr>
          <w:t>Plan de travail du processus de planification d’urgence</w:t>
        </w:r>
        <w:r w:rsidR="00F96BDA">
          <w:rPr>
            <w:noProof/>
            <w:webHidden/>
          </w:rPr>
          <w:tab/>
        </w:r>
        <w:r w:rsidR="00F96BDA">
          <w:rPr>
            <w:noProof/>
            <w:webHidden/>
          </w:rPr>
          <w:fldChar w:fldCharType="begin"/>
        </w:r>
        <w:r w:rsidR="00F96BDA">
          <w:rPr>
            <w:noProof/>
            <w:webHidden/>
          </w:rPr>
          <w:instrText xml:space="preserve"> PAGEREF _Toc59440499 \h </w:instrText>
        </w:r>
        <w:r w:rsidR="00F96BDA">
          <w:rPr>
            <w:noProof/>
            <w:webHidden/>
          </w:rPr>
        </w:r>
        <w:r w:rsidR="00F96BDA">
          <w:rPr>
            <w:noProof/>
            <w:webHidden/>
          </w:rPr>
          <w:fldChar w:fldCharType="separate"/>
        </w:r>
        <w:r>
          <w:rPr>
            <w:noProof/>
            <w:webHidden/>
          </w:rPr>
          <w:t>12</w:t>
        </w:r>
        <w:r w:rsidR="00F96BDA">
          <w:rPr>
            <w:noProof/>
            <w:webHidden/>
          </w:rPr>
          <w:fldChar w:fldCharType="end"/>
        </w:r>
      </w:hyperlink>
    </w:p>
    <w:p w14:paraId="1B52F95E" w14:textId="648202A2" w:rsidR="00F96BDA" w:rsidRDefault="000B21E2">
      <w:pPr>
        <w:pStyle w:val="TOC1"/>
        <w:rPr>
          <w:rFonts w:asciiTheme="minorHAnsi" w:eastAsiaTheme="minorEastAsia" w:hAnsiTheme="minorHAnsi" w:cstheme="minorBidi"/>
          <w:b w:val="0"/>
          <w:color w:val="auto"/>
          <w:sz w:val="22"/>
          <w:lang w:val="en-GB" w:eastAsia="en-GB"/>
        </w:rPr>
      </w:pPr>
      <w:hyperlink w:anchor="_Toc59440500" w:history="1">
        <w:r w:rsidR="00F96BDA" w:rsidRPr="00E86FBE">
          <w:rPr>
            <w:rStyle w:val="Hyperlink"/>
          </w:rPr>
          <w:t>Annexe 2 - Outils de la phase d’implémentation</w:t>
        </w:r>
        <w:r w:rsidR="00F96BDA">
          <w:rPr>
            <w:webHidden/>
          </w:rPr>
          <w:tab/>
        </w:r>
        <w:r w:rsidR="00F96BDA">
          <w:rPr>
            <w:webHidden/>
          </w:rPr>
          <w:fldChar w:fldCharType="begin"/>
        </w:r>
        <w:r w:rsidR="00F96BDA">
          <w:rPr>
            <w:webHidden/>
          </w:rPr>
          <w:instrText xml:space="preserve"> PAGEREF _Toc59440500 \h </w:instrText>
        </w:r>
        <w:r w:rsidR="00F96BDA">
          <w:rPr>
            <w:webHidden/>
          </w:rPr>
        </w:r>
        <w:r w:rsidR="00F96BDA">
          <w:rPr>
            <w:webHidden/>
          </w:rPr>
          <w:fldChar w:fldCharType="separate"/>
        </w:r>
        <w:r>
          <w:rPr>
            <w:webHidden/>
          </w:rPr>
          <w:t>13</w:t>
        </w:r>
        <w:r w:rsidR="00F96BDA">
          <w:rPr>
            <w:webHidden/>
          </w:rPr>
          <w:fldChar w:fldCharType="end"/>
        </w:r>
      </w:hyperlink>
    </w:p>
    <w:p w14:paraId="593559BF" w14:textId="2DB53126" w:rsidR="00F96BDA" w:rsidRDefault="000B21E2" w:rsidP="0085076F">
      <w:pPr>
        <w:pStyle w:val="TOC2"/>
        <w:rPr>
          <w:rFonts w:asciiTheme="minorHAnsi" w:eastAsiaTheme="minorEastAsia" w:hAnsiTheme="minorHAnsi" w:cstheme="minorBidi"/>
          <w:noProof/>
          <w:color w:val="auto"/>
          <w:sz w:val="22"/>
          <w:lang w:val="en-GB" w:eastAsia="en-GB"/>
        </w:rPr>
      </w:pPr>
      <w:hyperlink w:anchor="_Toc59440501" w:history="1">
        <w:r w:rsidR="00F96BDA" w:rsidRPr="00E86FBE">
          <w:rPr>
            <w:rStyle w:val="Hyperlink"/>
            <w:noProof/>
          </w:rPr>
          <w:t xml:space="preserve">Actions de la </w:t>
        </w:r>
        <w:r w:rsidR="00711A83">
          <w:rPr>
            <w:rStyle w:val="Hyperlink"/>
            <w:noProof/>
          </w:rPr>
          <w:t>Société nationale</w:t>
        </w:r>
        <w:r w:rsidR="00F96BDA" w:rsidRPr="00E86FBE">
          <w:rPr>
            <w:rStyle w:val="Hyperlink"/>
            <w:noProof/>
          </w:rPr>
          <w:t xml:space="preserve"> </w:t>
        </w:r>
        <w:r w:rsidR="00865465">
          <w:rPr>
            <w:rStyle w:val="Hyperlink"/>
            <w:noProof/>
          </w:rPr>
          <w:t xml:space="preserve">pour </w:t>
        </w:r>
        <w:r w:rsidR="00F96BDA" w:rsidRPr="00E86FBE">
          <w:rPr>
            <w:rStyle w:val="Hyperlink"/>
            <w:noProof/>
          </w:rPr>
          <w:t>être prête à répondre</w:t>
        </w:r>
        <w:r w:rsidR="00F96BDA">
          <w:rPr>
            <w:noProof/>
            <w:webHidden/>
          </w:rPr>
          <w:tab/>
        </w:r>
        <w:r w:rsidR="00F96BDA">
          <w:rPr>
            <w:noProof/>
            <w:webHidden/>
          </w:rPr>
          <w:fldChar w:fldCharType="begin"/>
        </w:r>
        <w:r w:rsidR="00F96BDA">
          <w:rPr>
            <w:noProof/>
            <w:webHidden/>
          </w:rPr>
          <w:instrText xml:space="preserve"> PAGEREF _Toc59440501 \h </w:instrText>
        </w:r>
        <w:r w:rsidR="00F96BDA">
          <w:rPr>
            <w:noProof/>
            <w:webHidden/>
          </w:rPr>
        </w:r>
        <w:r w:rsidR="00F96BDA">
          <w:rPr>
            <w:noProof/>
            <w:webHidden/>
          </w:rPr>
          <w:fldChar w:fldCharType="separate"/>
        </w:r>
        <w:r>
          <w:rPr>
            <w:noProof/>
            <w:webHidden/>
          </w:rPr>
          <w:t>13</w:t>
        </w:r>
        <w:r w:rsidR="00F96BDA">
          <w:rPr>
            <w:noProof/>
            <w:webHidden/>
          </w:rPr>
          <w:fldChar w:fldCharType="end"/>
        </w:r>
      </w:hyperlink>
    </w:p>
    <w:p w14:paraId="6EC0E2FA" w14:textId="2B1B5DDC" w:rsidR="00F96BDA" w:rsidRDefault="000B21E2">
      <w:pPr>
        <w:pStyle w:val="TOC3"/>
        <w:rPr>
          <w:rFonts w:asciiTheme="minorHAnsi" w:eastAsiaTheme="minorEastAsia" w:hAnsiTheme="minorHAnsi" w:cstheme="minorBidi"/>
          <w:color w:val="auto"/>
          <w:sz w:val="22"/>
          <w:szCs w:val="22"/>
          <w:lang w:val="en-GB" w:eastAsia="en-GB"/>
        </w:rPr>
      </w:pPr>
      <w:hyperlink w:anchor="_Toc59440502" w:history="1">
        <w:r w:rsidR="00F96BDA" w:rsidRPr="00E86FBE">
          <w:rPr>
            <w:rStyle w:val="Hyperlink"/>
          </w:rPr>
          <w:t xml:space="preserve">Plan d’action pour la préparation de la </w:t>
        </w:r>
        <w:r w:rsidR="00711A83">
          <w:rPr>
            <w:rStyle w:val="Hyperlink"/>
          </w:rPr>
          <w:t>Société nationale</w:t>
        </w:r>
        <w:r w:rsidR="00F96BDA">
          <w:rPr>
            <w:webHidden/>
          </w:rPr>
          <w:tab/>
        </w:r>
        <w:r w:rsidR="00F96BDA">
          <w:rPr>
            <w:webHidden/>
          </w:rPr>
          <w:fldChar w:fldCharType="begin"/>
        </w:r>
        <w:r w:rsidR="00F96BDA">
          <w:rPr>
            <w:webHidden/>
          </w:rPr>
          <w:instrText xml:space="preserve"> PAGEREF _Toc59440502 \h </w:instrText>
        </w:r>
        <w:r w:rsidR="00F96BDA">
          <w:rPr>
            <w:webHidden/>
          </w:rPr>
        </w:r>
        <w:r w:rsidR="00F96BDA">
          <w:rPr>
            <w:webHidden/>
          </w:rPr>
          <w:fldChar w:fldCharType="separate"/>
        </w:r>
        <w:r>
          <w:rPr>
            <w:webHidden/>
          </w:rPr>
          <w:t>13</w:t>
        </w:r>
        <w:r w:rsidR="00F96BDA">
          <w:rPr>
            <w:webHidden/>
          </w:rPr>
          <w:fldChar w:fldCharType="end"/>
        </w:r>
      </w:hyperlink>
    </w:p>
    <w:p w14:paraId="78D094EA" w14:textId="2A01B21C" w:rsidR="00F96BDA" w:rsidRDefault="000B21E2">
      <w:pPr>
        <w:pStyle w:val="TOC3"/>
        <w:rPr>
          <w:rFonts w:asciiTheme="minorHAnsi" w:eastAsiaTheme="minorEastAsia" w:hAnsiTheme="minorHAnsi" w:cstheme="minorBidi"/>
          <w:color w:val="auto"/>
          <w:sz w:val="22"/>
          <w:szCs w:val="22"/>
          <w:lang w:val="en-GB" w:eastAsia="en-GB"/>
        </w:rPr>
      </w:pPr>
      <w:hyperlink w:anchor="_Toc59440503" w:history="1">
        <w:r w:rsidR="00F96BDA" w:rsidRPr="00E86FBE">
          <w:rPr>
            <w:rStyle w:val="Hyperlink"/>
          </w:rPr>
          <w:t xml:space="preserve">Besoins de formation des équipes de la </w:t>
        </w:r>
        <w:r w:rsidR="00711A83">
          <w:rPr>
            <w:rStyle w:val="Hyperlink"/>
          </w:rPr>
          <w:t>Société nationale</w:t>
        </w:r>
        <w:r w:rsidR="00F96BDA">
          <w:rPr>
            <w:webHidden/>
          </w:rPr>
          <w:tab/>
        </w:r>
        <w:r w:rsidR="00F96BDA">
          <w:rPr>
            <w:webHidden/>
          </w:rPr>
          <w:fldChar w:fldCharType="begin"/>
        </w:r>
        <w:r w:rsidR="00F96BDA">
          <w:rPr>
            <w:webHidden/>
          </w:rPr>
          <w:instrText xml:space="preserve"> PAGEREF _Toc59440503 \h </w:instrText>
        </w:r>
        <w:r w:rsidR="00F96BDA">
          <w:rPr>
            <w:webHidden/>
          </w:rPr>
        </w:r>
        <w:r w:rsidR="00F96BDA">
          <w:rPr>
            <w:webHidden/>
          </w:rPr>
          <w:fldChar w:fldCharType="separate"/>
        </w:r>
        <w:r>
          <w:rPr>
            <w:webHidden/>
          </w:rPr>
          <w:t>14</w:t>
        </w:r>
        <w:r w:rsidR="00F96BDA">
          <w:rPr>
            <w:webHidden/>
          </w:rPr>
          <w:fldChar w:fldCharType="end"/>
        </w:r>
      </w:hyperlink>
    </w:p>
    <w:p w14:paraId="74EDDE33" w14:textId="538F3EE1" w:rsidR="00F96BDA" w:rsidRDefault="000B21E2">
      <w:pPr>
        <w:pStyle w:val="TOC3"/>
        <w:rPr>
          <w:rFonts w:asciiTheme="minorHAnsi" w:eastAsiaTheme="minorEastAsia" w:hAnsiTheme="minorHAnsi" w:cstheme="minorBidi"/>
          <w:color w:val="auto"/>
          <w:sz w:val="22"/>
          <w:szCs w:val="22"/>
          <w:lang w:val="en-GB" w:eastAsia="en-GB"/>
        </w:rPr>
      </w:pPr>
      <w:hyperlink w:anchor="_Toc59440504" w:history="1">
        <w:r w:rsidR="00F96BDA" w:rsidRPr="00E86FBE">
          <w:rPr>
            <w:rStyle w:val="Hyperlink"/>
          </w:rPr>
          <w:t>Simulation et exercices pratiques</w:t>
        </w:r>
        <w:r w:rsidR="00F96BDA">
          <w:rPr>
            <w:webHidden/>
          </w:rPr>
          <w:tab/>
        </w:r>
        <w:r w:rsidR="00F96BDA">
          <w:rPr>
            <w:webHidden/>
          </w:rPr>
          <w:fldChar w:fldCharType="begin"/>
        </w:r>
        <w:r w:rsidR="00F96BDA">
          <w:rPr>
            <w:webHidden/>
          </w:rPr>
          <w:instrText xml:space="preserve"> PAGEREF _Toc59440504 \h </w:instrText>
        </w:r>
        <w:r w:rsidR="00F96BDA">
          <w:rPr>
            <w:webHidden/>
          </w:rPr>
        </w:r>
        <w:r w:rsidR="00F96BDA">
          <w:rPr>
            <w:webHidden/>
          </w:rPr>
          <w:fldChar w:fldCharType="separate"/>
        </w:r>
        <w:r>
          <w:rPr>
            <w:webHidden/>
          </w:rPr>
          <w:t>14</w:t>
        </w:r>
        <w:r w:rsidR="00F96BDA">
          <w:rPr>
            <w:webHidden/>
          </w:rPr>
          <w:fldChar w:fldCharType="end"/>
        </w:r>
      </w:hyperlink>
    </w:p>
    <w:p w14:paraId="64723AD8" w14:textId="6F6B8B7C" w:rsidR="00F96BDA" w:rsidRDefault="000B21E2" w:rsidP="0085076F">
      <w:pPr>
        <w:pStyle w:val="TOC2"/>
        <w:rPr>
          <w:rFonts w:asciiTheme="minorHAnsi" w:eastAsiaTheme="minorEastAsia" w:hAnsiTheme="minorHAnsi" w:cstheme="minorBidi"/>
          <w:noProof/>
          <w:color w:val="auto"/>
          <w:sz w:val="22"/>
          <w:lang w:val="en-GB" w:eastAsia="en-GB"/>
        </w:rPr>
      </w:pPr>
      <w:hyperlink w:anchor="_Toc59440505" w:history="1">
        <w:r w:rsidR="00F96BDA" w:rsidRPr="00E86FBE">
          <w:rPr>
            <w:rStyle w:val="Hyperlink"/>
            <w:noProof/>
          </w:rPr>
          <w:t>Mobilisation des ressources</w:t>
        </w:r>
        <w:r w:rsidR="00F96BDA">
          <w:rPr>
            <w:noProof/>
            <w:webHidden/>
          </w:rPr>
          <w:tab/>
        </w:r>
        <w:r w:rsidR="00F96BDA">
          <w:rPr>
            <w:noProof/>
            <w:webHidden/>
          </w:rPr>
          <w:fldChar w:fldCharType="begin"/>
        </w:r>
        <w:r w:rsidR="00F96BDA">
          <w:rPr>
            <w:noProof/>
            <w:webHidden/>
          </w:rPr>
          <w:instrText xml:space="preserve"> PAGEREF _Toc59440505 \h </w:instrText>
        </w:r>
        <w:r w:rsidR="00F96BDA">
          <w:rPr>
            <w:noProof/>
            <w:webHidden/>
          </w:rPr>
        </w:r>
        <w:r w:rsidR="00F96BDA">
          <w:rPr>
            <w:noProof/>
            <w:webHidden/>
          </w:rPr>
          <w:fldChar w:fldCharType="separate"/>
        </w:r>
        <w:r>
          <w:rPr>
            <w:noProof/>
            <w:webHidden/>
          </w:rPr>
          <w:t>14</w:t>
        </w:r>
        <w:r w:rsidR="00F96BDA">
          <w:rPr>
            <w:noProof/>
            <w:webHidden/>
          </w:rPr>
          <w:fldChar w:fldCharType="end"/>
        </w:r>
      </w:hyperlink>
    </w:p>
    <w:p w14:paraId="0D48551A" w14:textId="4278E21F" w:rsidR="00F96BDA" w:rsidRDefault="000B21E2">
      <w:pPr>
        <w:pStyle w:val="TOC3"/>
        <w:rPr>
          <w:rFonts w:asciiTheme="minorHAnsi" w:eastAsiaTheme="minorEastAsia" w:hAnsiTheme="minorHAnsi" w:cstheme="minorBidi"/>
          <w:color w:val="auto"/>
          <w:sz w:val="22"/>
          <w:szCs w:val="22"/>
          <w:lang w:val="en-GB" w:eastAsia="en-GB"/>
        </w:rPr>
      </w:pPr>
      <w:hyperlink w:anchor="_Toc59440506" w:history="1">
        <w:r w:rsidR="00F96BDA" w:rsidRPr="00E86FBE">
          <w:rPr>
            <w:rStyle w:val="Hyperlink"/>
          </w:rPr>
          <w:t xml:space="preserve">Exigences budgétaires du plan de préparation de la </w:t>
        </w:r>
        <w:r w:rsidR="00711A83">
          <w:rPr>
            <w:rStyle w:val="Hyperlink"/>
          </w:rPr>
          <w:t>Société nationale</w:t>
        </w:r>
        <w:r w:rsidR="00F96BDA">
          <w:rPr>
            <w:webHidden/>
          </w:rPr>
          <w:tab/>
        </w:r>
        <w:r w:rsidR="00F96BDA">
          <w:rPr>
            <w:webHidden/>
          </w:rPr>
          <w:fldChar w:fldCharType="begin"/>
        </w:r>
        <w:r w:rsidR="00F96BDA">
          <w:rPr>
            <w:webHidden/>
          </w:rPr>
          <w:instrText xml:space="preserve"> PAGEREF _Toc59440506 \h </w:instrText>
        </w:r>
        <w:r w:rsidR="00F96BDA">
          <w:rPr>
            <w:webHidden/>
          </w:rPr>
        </w:r>
        <w:r w:rsidR="00F96BDA">
          <w:rPr>
            <w:webHidden/>
          </w:rPr>
          <w:fldChar w:fldCharType="separate"/>
        </w:r>
        <w:r>
          <w:rPr>
            <w:webHidden/>
          </w:rPr>
          <w:t>14</w:t>
        </w:r>
        <w:r w:rsidR="00F96BDA">
          <w:rPr>
            <w:webHidden/>
          </w:rPr>
          <w:fldChar w:fldCharType="end"/>
        </w:r>
      </w:hyperlink>
    </w:p>
    <w:p w14:paraId="2AF577C0" w14:textId="1FF7A2E1" w:rsidR="00F96BDA" w:rsidRDefault="000B21E2">
      <w:pPr>
        <w:pStyle w:val="TOC3"/>
        <w:rPr>
          <w:rFonts w:asciiTheme="minorHAnsi" w:eastAsiaTheme="minorEastAsia" w:hAnsiTheme="minorHAnsi" w:cstheme="minorBidi"/>
          <w:color w:val="auto"/>
          <w:sz w:val="22"/>
          <w:szCs w:val="22"/>
          <w:lang w:val="en-GB" w:eastAsia="en-GB"/>
        </w:rPr>
      </w:pPr>
      <w:hyperlink w:anchor="_Toc59440507" w:history="1">
        <w:r w:rsidR="00F96BDA" w:rsidRPr="00E86FBE">
          <w:rPr>
            <w:rStyle w:val="Hyperlink"/>
          </w:rPr>
          <w:t xml:space="preserve">Comparaison budgétaire entre la réponse des </w:t>
        </w:r>
        <w:r w:rsidR="00711A83">
          <w:rPr>
            <w:rStyle w:val="Hyperlink"/>
          </w:rPr>
          <w:t>Sociétés nationales</w:t>
        </w:r>
        <w:r w:rsidR="00F96BDA" w:rsidRPr="00E86FBE">
          <w:rPr>
            <w:rStyle w:val="Hyperlink"/>
          </w:rPr>
          <w:t xml:space="preserve"> et les plans de préparation</w:t>
        </w:r>
        <w:r w:rsidR="00F96BDA">
          <w:rPr>
            <w:webHidden/>
          </w:rPr>
          <w:tab/>
        </w:r>
        <w:r w:rsidR="00F96BDA">
          <w:rPr>
            <w:webHidden/>
          </w:rPr>
          <w:fldChar w:fldCharType="begin"/>
        </w:r>
        <w:r w:rsidR="00F96BDA">
          <w:rPr>
            <w:webHidden/>
          </w:rPr>
          <w:instrText xml:space="preserve"> PAGEREF _Toc59440507 \h </w:instrText>
        </w:r>
        <w:r w:rsidR="00F96BDA">
          <w:rPr>
            <w:webHidden/>
          </w:rPr>
        </w:r>
        <w:r w:rsidR="00F96BDA">
          <w:rPr>
            <w:webHidden/>
          </w:rPr>
          <w:fldChar w:fldCharType="separate"/>
        </w:r>
        <w:r>
          <w:rPr>
            <w:webHidden/>
          </w:rPr>
          <w:t>15</w:t>
        </w:r>
        <w:r w:rsidR="00F96BDA">
          <w:rPr>
            <w:webHidden/>
          </w:rPr>
          <w:fldChar w:fldCharType="end"/>
        </w:r>
      </w:hyperlink>
    </w:p>
    <w:p w14:paraId="25FFC829" w14:textId="4F175C0E" w:rsidR="00F96BDA" w:rsidRDefault="000B21E2">
      <w:pPr>
        <w:pStyle w:val="TOC1"/>
        <w:rPr>
          <w:rFonts w:asciiTheme="minorHAnsi" w:eastAsiaTheme="minorEastAsia" w:hAnsiTheme="minorHAnsi" w:cstheme="minorBidi"/>
          <w:b w:val="0"/>
          <w:color w:val="auto"/>
          <w:sz w:val="22"/>
          <w:lang w:val="en-GB" w:eastAsia="en-GB"/>
        </w:rPr>
      </w:pPr>
      <w:hyperlink w:anchor="_Toc59440508" w:history="1">
        <w:r w:rsidR="00F96BDA" w:rsidRPr="00E86FBE">
          <w:rPr>
            <w:rStyle w:val="Hyperlink"/>
          </w:rPr>
          <w:t>Annexe 3 - Outils de la phase d’examen</w:t>
        </w:r>
        <w:r w:rsidR="00F96BDA">
          <w:rPr>
            <w:webHidden/>
          </w:rPr>
          <w:tab/>
        </w:r>
        <w:r w:rsidR="00F96BDA">
          <w:rPr>
            <w:webHidden/>
          </w:rPr>
          <w:fldChar w:fldCharType="begin"/>
        </w:r>
        <w:r w:rsidR="00F96BDA">
          <w:rPr>
            <w:webHidden/>
          </w:rPr>
          <w:instrText xml:space="preserve"> PAGEREF _Toc59440508 \h </w:instrText>
        </w:r>
        <w:r w:rsidR="00F96BDA">
          <w:rPr>
            <w:webHidden/>
          </w:rPr>
        </w:r>
        <w:r w:rsidR="00F96BDA">
          <w:rPr>
            <w:webHidden/>
          </w:rPr>
          <w:fldChar w:fldCharType="separate"/>
        </w:r>
        <w:r>
          <w:rPr>
            <w:webHidden/>
          </w:rPr>
          <w:t>16</w:t>
        </w:r>
        <w:r w:rsidR="00F96BDA">
          <w:rPr>
            <w:webHidden/>
          </w:rPr>
          <w:fldChar w:fldCharType="end"/>
        </w:r>
      </w:hyperlink>
    </w:p>
    <w:p w14:paraId="60AE8457" w14:textId="5425B459" w:rsidR="00F96BDA" w:rsidRDefault="000B21E2" w:rsidP="0085076F">
      <w:pPr>
        <w:pStyle w:val="TOC2"/>
        <w:rPr>
          <w:rFonts w:asciiTheme="minorHAnsi" w:eastAsiaTheme="minorEastAsia" w:hAnsiTheme="minorHAnsi" w:cstheme="minorBidi"/>
          <w:noProof/>
          <w:color w:val="auto"/>
          <w:sz w:val="22"/>
          <w:lang w:val="en-GB" w:eastAsia="en-GB"/>
        </w:rPr>
      </w:pPr>
      <w:hyperlink w:anchor="_Toc59440509" w:history="1">
        <w:r w:rsidR="00F96BDA" w:rsidRPr="00E86FBE">
          <w:rPr>
            <w:rStyle w:val="Hyperlink"/>
            <w:noProof/>
          </w:rPr>
          <w:t xml:space="preserve">Évaluation du plan </w:t>
        </w:r>
        <w:r w:rsidR="00F96BDA">
          <w:rPr>
            <w:noProof/>
            <w:webHidden/>
          </w:rPr>
          <w:tab/>
        </w:r>
        <w:r w:rsidR="00F96BDA">
          <w:rPr>
            <w:noProof/>
            <w:webHidden/>
          </w:rPr>
          <w:fldChar w:fldCharType="begin"/>
        </w:r>
        <w:r w:rsidR="00F96BDA">
          <w:rPr>
            <w:noProof/>
            <w:webHidden/>
          </w:rPr>
          <w:instrText xml:space="preserve"> PAGEREF _Toc59440509 \h </w:instrText>
        </w:r>
        <w:r w:rsidR="00F96BDA">
          <w:rPr>
            <w:noProof/>
            <w:webHidden/>
          </w:rPr>
        </w:r>
        <w:r w:rsidR="00F96BDA">
          <w:rPr>
            <w:noProof/>
            <w:webHidden/>
          </w:rPr>
          <w:fldChar w:fldCharType="separate"/>
        </w:r>
        <w:r>
          <w:rPr>
            <w:noProof/>
            <w:webHidden/>
          </w:rPr>
          <w:t>16</w:t>
        </w:r>
        <w:r w:rsidR="00F96BDA">
          <w:rPr>
            <w:noProof/>
            <w:webHidden/>
          </w:rPr>
          <w:fldChar w:fldCharType="end"/>
        </w:r>
      </w:hyperlink>
    </w:p>
    <w:p w14:paraId="2217E755" w14:textId="03E58255" w:rsidR="00F96BDA" w:rsidRDefault="000B21E2" w:rsidP="0085076F">
      <w:pPr>
        <w:pStyle w:val="TOC2"/>
        <w:rPr>
          <w:rFonts w:asciiTheme="minorHAnsi" w:eastAsiaTheme="minorEastAsia" w:hAnsiTheme="minorHAnsi" w:cstheme="minorBidi"/>
          <w:noProof/>
          <w:color w:val="auto"/>
          <w:sz w:val="22"/>
          <w:lang w:val="en-GB" w:eastAsia="en-GB"/>
        </w:rPr>
      </w:pPr>
      <w:hyperlink w:anchor="_Toc59440510" w:history="1">
        <w:r w:rsidR="00F96BDA" w:rsidRPr="00E86FBE">
          <w:rPr>
            <w:rStyle w:val="Hyperlink"/>
            <w:noProof/>
          </w:rPr>
          <w:t>Partage et examen</w:t>
        </w:r>
        <w:r w:rsidR="00F96BDA">
          <w:rPr>
            <w:noProof/>
            <w:webHidden/>
          </w:rPr>
          <w:tab/>
        </w:r>
        <w:r w:rsidR="00F96BDA">
          <w:rPr>
            <w:noProof/>
            <w:webHidden/>
          </w:rPr>
          <w:fldChar w:fldCharType="begin"/>
        </w:r>
        <w:r w:rsidR="00F96BDA">
          <w:rPr>
            <w:noProof/>
            <w:webHidden/>
          </w:rPr>
          <w:instrText xml:space="preserve"> PAGEREF _Toc59440510 \h </w:instrText>
        </w:r>
        <w:r w:rsidR="00F96BDA">
          <w:rPr>
            <w:noProof/>
            <w:webHidden/>
          </w:rPr>
        </w:r>
        <w:r w:rsidR="00F96BDA">
          <w:rPr>
            <w:noProof/>
            <w:webHidden/>
          </w:rPr>
          <w:fldChar w:fldCharType="separate"/>
        </w:r>
        <w:r>
          <w:rPr>
            <w:noProof/>
            <w:webHidden/>
          </w:rPr>
          <w:t>16</w:t>
        </w:r>
        <w:r w:rsidR="00F96BDA">
          <w:rPr>
            <w:noProof/>
            <w:webHidden/>
          </w:rPr>
          <w:fldChar w:fldCharType="end"/>
        </w:r>
      </w:hyperlink>
    </w:p>
    <w:p w14:paraId="7D4C3B39" w14:textId="7E7EB400" w:rsidR="00292C37" w:rsidRPr="007E655F" w:rsidRDefault="00E67461" w:rsidP="0085076F">
      <w:pPr>
        <w:pStyle w:val="TOC2"/>
      </w:pPr>
      <w:r>
        <w:rPr>
          <w:b/>
          <w:bCs/>
        </w:rPr>
        <w:fldChar w:fldCharType="end"/>
      </w:r>
      <w:r>
        <w:br w:type="page"/>
      </w:r>
    </w:p>
    <w:p w14:paraId="45553175" w14:textId="15126227" w:rsidR="00CE6D9E" w:rsidRPr="00BF166C" w:rsidRDefault="0011511B" w:rsidP="00CC2FCC">
      <w:pPr>
        <w:pStyle w:val="Heading1"/>
      </w:pPr>
      <w:bookmarkStart w:id="0" w:name="_Toc59440480"/>
      <w:r>
        <w:lastRenderedPageBreak/>
        <w:t>Présentation</w:t>
      </w:r>
      <w:bookmarkEnd w:id="0"/>
    </w:p>
    <w:p w14:paraId="51188C21" w14:textId="765154EA" w:rsidR="00036F01" w:rsidRPr="009F7C10" w:rsidRDefault="00036F01" w:rsidP="009F7C10">
      <w:pPr>
        <w:pStyle w:val="Heading2"/>
      </w:pPr>
      <w:bookmarkStart w:id="1" w:name="_Toc59440481"/>
      <w:r>
        <w:t>Quel est l’objectif de ce document et comment l’utiliser ?</w:t>
      </w:r>
      <w:bookmarkEnd w:id="1"/>
    </w:p>
    <w:p w14:paraId="741EE39D" w14:textId="78334241" w:rsidR="00292C37" w:rsidRPr="00CD5104" w:rsidRDefault="006C5E59" w:rsidP="00FF1DDF">
      <w:pPr>
        <w:ind w:right="-2"/>
      </w:pPr>
      <w:r>
        <w:t xml:space="preserve">Une étude </w:t>
      </w:r>
      <w:r w:rsidR="008930CD">
        <w:t xml:space="preserve">revue des pratiques </w:t>
      </w:r>
      <w:r>
        <w:t xml:space="preserve">a été menée par la FICR entre mars et juin 2020 sur le processus de </w:t>
      </w:r>
      <w:r w:rsidR="009B2716">
        <w:t xml:space="preserve">Planification d’Urgence </w:t>
      </w:r>
      <w:r>
        <w:t xml:space="preserve">au niveau des </w:t>
      </w:r>
      <w:r w:rsidR="00711A83">
        <w:t>Sociétés nationales</w:t>
      </w:r>
      <w:r>
        <w:t xml:space="preserve">. Pour répondre aux principales conclusions de </w:t>
      </w:r>
      <w:r w:rsidR="008930CD">
        <w:t xml:space="preserve">la revue </w:t>
      </w:r>
      <w:r>
        <w:t xml:space="preserve">et </w:t>
      </w:r>
      <w:r w:rsidR="008930CD">
        <w:t xml:space="preserve">sur la </w:t>
      </w:r>
      <w:r>
        <w:t xml:space="preserve">demande des </w:t>
      </w:r>
      <w:r w:rsidR="00711A83">
        <w:t>Sociétés nationales</w:t>
      </w:r>
      <w:r>
        <w:t xml:space="preserve"> et du personnel de </w:t>
      </w:r>
      <w:r w:rsidR="008930CD">
        <w:t xml:space="preserve">support </w:t>
      </w:r>
      <w:r>
        <w:t xml:space="preserve">de la FICR et des </w:t>
      </w:r>
      <w:r w:rsidR="00711A83">
        <w:t xml:space="preserve">Sociétés </w:t>
      </w:r>
      <w:r w:rsidR="00D66253">
        <w:rPr>
          <w:lang w:val="en-CH"/>
        </w:rPr>
        <w:t>N</w:t>
      </w:r>
      <w:proofErr w:type="spellStart"/>
      <w:r w:rsidR="00711A83">
        <w:t>ationales</w:t>
      </w:r>
      <w:proofErr w:type="spellEnd"/>
      <w:r w:rsidR="008930CD">
        <w:t xml:space="preserve"> P</w:t>
      </w:r>
      <w:r>
        <w:t>artenaires</w:t>
      </w:r>
      <w:r w:rsidR="008930CD">
        <w:t xml:space="preserve"> (PNS)</w:t>
      </w:r>
      <w:r>
        <w:t xml:space="preserve">, le présent document a été élaboré pour accompagner le </w:t>
      </w:r>
      <w:hyperlink r:id="rId11" w:history="1">
        <w:r>
          <w:rPr>
            <w:rStyle w:val="Hyperlink"/>
            <w:color w:val="0000FF"/>
          </w:rPr>
          <w:t xml:space="preserve">guide </w:t>
        </w:r>
        <w:r w:rsidR="009B2716">
          <w:rPr>
            <w:rStyle w:val="Hyperlink"/>
            <w:color w:val="0000FF"/>
          </w:rPr>
          <w:t>pour la</w:t>
        </w:r>
        <w:r>
          <w:rPr>
            <w:rStyle w:val="Hyperlink"/>
            <w:color w:val="0000FF"/>
          </w:rPr>
          <w:t xml:space="preserve"> </w:t>
        </w:r>
        <w:r w:rsidR="009B2716">
          <w:rPr>
            <w:rStyle w:val="Hyperlink"/>
            <w:color w:val="0000FF"/>
          </w:rPr>
          <w:t>P</w:t>
        </w:r>
        <w:r>
          <w:rPr>
            <w:rStyle w:val="Hyperlink"/>
            <w:color w:val="0000FF"/>
          </w:rPr>
          <w:t xml:space="preserve">lanification d’urgence existant </w:t>
        </w:r>
      </w:hyperlink>
      <w:r>
        <w:t xml:space="preserve">et pour servir de modèle à un document prêt à être rempli que les </w:t>
      </w:r>
      <w:r w:rsidR="00711A83">
        <w:t>Sociétés nationales</w:t>
      </w:r>
      <w:r>
        <w:t xml:space="preserve"> (siège et sections) pourraient utiliser pour orienter leur processus de planification d’urgence. Au niveau communautaire, le processus diffère légèrement et il doit être adapté pour répondre aux besoins spécifiques de la communauté. </w:t>
      </w:r>
    </w:p>
    <w:p w14:paraId="3A2B12B3" w14:textId="5352B94A" w:rsidR="007D3AFE" w:rsidRPr="003E013C" w:rsidRDefault="00F665C0" w:rsidP="007607D6">
      <w:r>
        <w:t xml:space="preserve">Le document intitulé </w:t>
      </w:r>
      <w:r>
        <w:rPr>
          <w:b/>
          <w:i/>
        </w:rPr>
        <w:t>Comment mener un processus de planification d’urgence</w:t>
      </w:r>
      <w:r w:rsidR="00D41F27">
        <w:rPr>
          <w:rStyle w:val="FootnoteReference"/>
          <w:b/>
          <w:i/>
        </w:rPr>
        <w:footnoteReference w:id="2"/>
      </w:r>
      <w:r>
        <w:t xml:space="preserve"> couvre le processus </w:t>
      </w:r>
      <w:r w:rsidR="00E065A9">
        <w:t>lui-même</w:t>
      </w:r>
      <w:r>
        <w:t xml:space="preserve">, et le document </w:t>
      </w:r>
      <w:r>
        <w:rPr>
          <w:b/>
          <w:i/>
        </w:rPr>
        <w:t xml:space="preserve">Modèle </w:t>
      </w:r>
      <w:r w:rsidR="009B2716">
        <w:rPr>
          <w:b/>
          <w:i/>
        </w:rPr>
        <w:t xml:space="preserve">de </w:t>
      </w:r>
      <w:r w:rsidR="008930CD">
        <w:rPr>
          <w:b/>
          <w:i/>
        </w:rPr>
        <w:t>P</w:t>
      </w:r>
      <w:r w:rsidR="009B2716">
        <w:rPr>
          <w:b/>
          <w:i/>
        </w:rPr>
        <w:t xml:space="preserve">lan </w:t>
      </w:r>
      <w:r w:rsidR="008930CD">
        <w:rPr>
          <w:b/>
          <w:i/>
        </w:rPr>
        <w:t>d</w:t>
      </w:r>
      <w:r w:rsidR="009B2716">
        <w:rPr>
          <w:b/>
          <w:i/>
        </w:rPr>
        <w:t xml:space="preserve">e </w:t>
      </w:r>
      <w:r w:rsidR="008930CD">
        <w:rPr>
          <w:b/>
          <w:i/>
        </w:rPr>
        <w:t>C</w:t>
      </w:r>
      <w:r w:rsidR="009B2716">
        <w:rPr>
          <w:b/>
          <w:i/>
        </w:rPr>
        <w:t>ontingence</w:t>
      </w:r>
      <w:r>
        <w:t xml:space="preserve"> </w:t>
      </w:r>
      <w:r w:rsidR="00E065A9">
        <w:t xml:space="preserve">soutient </w:t>
      </w:r>
      <w:r>
        <w:t xml:space="preserve">l’élaboration </w:t>
      </w:r>
      <w:r w:rsidR="00E065A9">
        <w:t xml:space="preserve">et l’écriture </w:t>
      </w:r>
      <w:r>
        <w:t>de</w:t>
      </w:r>
      <w:r w:rsidR="00E065A9">
        <w:t>s</w:t>
      </w:r>
      <w:r>
        <w:t xml:space="preserve"> plans. Cependant, les deux documents et approches doivent être considérés en parallèle pour assurer une</w:t>
      </w:r>
      <w:r w:rsidR="00E065A9">
        <w:t xml:space="preserve"> bonne</w:t>
      </w:r>
      <w:r>
        <w:t xml:space="preserve"> planification, des </w:t>
      </w:r>
      <w:r w:rsidR="00E065A9">
        <w:t xml:space="preserve">règlementations efficaces </w:t>
      </w:r>
      <w:r>
        <w:t xml:space="preserve">et la préparation des </w:t>
      </w:r>
      <w:r w:rsidR="00711A83">
        <w:t>Sociétés nationales</w:t>
      </w:r>
      <w:r>
        <w:t xml:space="preserve">. Les deux documents ont été élaborés à partir des pratiques existantes des </w:t>
      </w:r>
      <w:r w:rsidR="00711A83">
        <w:t>Sociétés nationales</w:t>
      </w:r>
      <w:r>
        <w:t xml:space="preserve">, des </w:t>
      </w:r>
      <w:r w:rsidR="00F236F8">
        <w:rPr>
          <w:lang w:val="en-CH"/>
        </w:rPr>
        <w:t>orientations</w:t>
      </w:r>
      <w:r w:rsidR="00652850">
        <w:rPr>
          <w:lang w:val="en-CH"/>
        </w:rPr>
        <w:t xml:space="preserve"> </w:t>
      </w:r>
      <w:proofErr w:type="spellStart"/>
      <w:r w:rsidR="00E065A9">
        <w:t>globa</w:t>
      </w:r>
      <w:proofErr w:type="spellEnd"/>
      <w:r w:rsidR="004F3F51">
        <w:rPr>
          <w:lang w:val="en-CH"/>
        </w:rPr>
        <w:t>les</w:t>
      </w:r>
      <w:r>
        <w:t xml:space="preserve">, régionales et </w:t>
      </w:r>
      <w:proofErr w:type="spellStart"/>
      <w:r>
        <w:t>nationa</w:t>
      </w:r>
      <w:proofErr w:type="spellEnd"/>
      <w:r w:rsidR="004F3F51">
        <w:rPr>
          <w:lang w:val="en-CH"/>
        </w:rPr>
        <w:t>le</w:t>
      </w:r>
      <w:r w:rsidR="00652850">
        <w:rPr>
          <w:lang w:val="en-CH"/>
        </w:rPr>
        <w:t>s,</w:t>
      </w:r>
      <w:r>
        <w:t xml:space="preserve"> et des </w:t>
      </w:r>
      <w:r w:rsidR="00E065A9">
        <w:t>retours</w:t>
      </w:r>
      <w:r>
        <w:t xml:space="preserve"> de</w:t>
      </w:r>
      <w:r w:rsidR="00E065A9">
        <w:t xml:space="preserve"> la</w:t>
      </w:r>
      <w:r>
        <w:t xml:space="preserve"> </w:t>
      </w:r>
      <w:r w:rsidR="00E065A9">
        <w:t>revue</w:t>
      </w:r>
      <w:r>
        <w:t xml:space="preserve">. Ils expliquent et clarifient davantage les cinq phases identifiées dans </w:t>
      </w:r>
      <w:r w:rsidR="00CC0FD8">
        <w:rPr>
          <w:lang w:val="en-CH"/>
        </w:rPr>
        <w:t>le guide</w:t>
      </w:r>
      <w:r>
        <w:t xml:space="preserve"> sur les </w:t>
      </w:r>
      <w:r w:rsidR="006868D1">
        <w:t>plans de contingence</w:t>
      </w:r>
      <w:r>
        <w:t xml:space="preserve"> (2012) : 1 - Préparation, 2 - Analyse, 3 - Développement, 4 - Mise en œuvre et 5 - </w:t>
      </w:r>
      <w:r w:rsidR="007607D6">
        <w:t>Examen</w:t>
      </w:r>
      <w:r w:rsidR="009B2716">
        <w:t>s</w:t>
      </w:r>
      <w:r>
        <w:t>.</w:t>
      </w:r>
    </w:p>
    <w:p w14:paraId="551BA36A" w14:textId="70D1D209" w:rsidR="000C7A63" w:rsidRDefault="00FA3261" w:rsidP="00FF401F">
      <w:r>
        <w:t xml:space="preserve">Chaque phase est présentée avec un aperçu des activités à réaliser, </w:t>
      </w:r>
      <w:proofErr w:type="spellStart"/>
      <w:r w:rsidR="00E87837">
        <w:rPr>
          <w:lang w:val="en-CH"/>
        </w:rPr>
        <w:t>puis</w:t>
      </w:r>
      <w:proofErr w:type="spellEnd"/>
      <w:r>
        <w:t xml:space="preserve"> des outils et des modèles proposés à remplir. Dans ce document </w:t>
      </w:r>
      <w:r w:rsidRPr="009B2716">
        <w:rPr>
          <w:b/>
          <w:i/>
        </w:rPr>
        <w:t>Comment mener un processus de planification d’urgence</w:t>
      </w:r>
      <w:r>
        <w:t xml:space="preserve">, seuls les outils pour les phases de préparation, de mise en œuvre et d’examen sont inclus. Tous les outils nécessaires aux phases d’analyse et de développement sont directement intégrés dans le </w:t>
      </w:r>
      <w:r w:rsidR="009B2716">
        <w:t xml:space="preserve">document </w:t>
      </w:r>
      <w:r w:rsidR="009B2716" w:rsidRPr="009B2716">
        <w:rPr>
          <w:b/>
          <w:i/>
        </w:rPr>
        <w:t xml:space="preserve">Modèle </w:t>
      </w:r>
      <w:r w:rsidRPr="009B2716">
        <w:rPr>
          <w:b/>
          <w:i/>
        </w:rPr>
        <w:t xml:space="preserve">de </w:t>
      </w:r>
      <w:r w:rsidR="009B2716" w:rsidRPr="009B2716">
        <w:rPr>
          <w:b/>
          <w:i/>
        </w:rPr>
        <w:t>Plan de Contingence</w:t>
      </w:r>
      <w:r>
        <w:t>.</w:t>
      </w:r>
    </w:p>
    <w:p w14:paraId="72207DCD" w14:textId="7364483B" w:rsidR="00095B71" w:rsidRDefault="00AE1A70" w:rsidP="000A7F71">
      <w:r>
        <w:t xml:space="preserve">Pour de plus amples informations, les utilisateurs sont invités à suivre les liens fournis directement dans le texte ou à titre de référence. Tous les outils mentionnés peuvent être trouvés sur le </w:t>
      </w:r>
      <w:r w:rsidR="00BE425F">
        <w:t>s</w:t>
      </w:r>
      <w:r w:rsidR="00BE425F" w:rsidRPr="00BE425F">
        <w:t xml:space="preserve">ite du </w:t>
      </w:r>
      <w:hyperlink r:id="rId12" w:history="1">
        <w:r w:rsidR="00BE425F" w:rsidRPr="00BE425F">
          <w:rPr>
            <w:rStyle w:val="Hyperlink"/>
            <w:color w:val="0000FF"/>
          </w:rPr>
          <w:t>Centre mondial de préparation aux catastrophes (GDPC)</w:t>
        </w:r>
      </w:hyperlink>
      <w:r w:rsidR="00BE425F" w:rsidRPr="00BE425F">
        <w:t xml:space="preserve">, </w:t>
      </w:r>
      <w:hyperlink r:id="rId13" w:history="1">
        <w:r>
          <w:rPr>
            <w:rStyle w:val="Hyperlink"/>
            <w:color w:val="0000FF"/>
          </w:rPr>
          <w:t xml:space="preserve">FICR </w:t>
        </w:r>
        <w:proofErr w:type="spellStart"/>
        <w:r>
          <w:rPr>
            <w:rStyle w:val="Hyperlink"/>
            <w:color w:val="0000FF"/>
          </w:rPr>
          <w:t>FedNet</w:t>
        </w:r>
        <w:proofErr w:type="spellEnd"/>
      </w:hyperlink>
      <w:r>
        <w:t xml:space="preserve">, </w:t>
      </w:r>
      <w:hyperlink r:id="rId14" w:history="1">
        <w:r>
          <w:rPr>
            <w:rStyle w:val="Hyperlink"/>
            <w:color w:val="0000FF"/>
          </w:rPr>
          <w:t>Centre de ressources CICR</w:t>
        </w:r>
      </w:hyperlink>
      <w:r>
        <w:t xml:space="preserve"> et </w:t>
      </w:r>
      <w:hyperlink r:id="rId15" w:history="1">
        <w:r>
          <w:rPr>
            <w:rStyle w:val="Hyperlink"/>
            <w:color w:val="0000FF"/>
          </w:rPr>
          <w:t xml:space="preserve">le catalogue </w:t>
        </w:r>
      </w:hyperlink>
      <w:r>
        <w:rPr>
          <w:rStyle w:val="Hyperlink"/>
          <w:color w:val="0000FF"/>
        </w:rPr>
        <w:t xml:space="preserve">de ressources de la Préparation pour une </w:t>
      </w:r>
      <w:r w:rsidR="00BE425F">
        <w:rPr>
          <w:rStyle w:val="Hyperlink"/>
          <w:color w:val="0000FF"/>
        </w:rPr>
        <w:t>Intervention</w:t>
      </w:r>
      <w:r>
        <w:rPr>
          <w:rStyle w:val="Hyperlink"/>
          <w:color w:val="0000FF"/>
        </w:rPr>
        <w:t xml:space="preserve"> </w:t>
      </w:r>
      <w:r w:rsidR="009B2716">
        <w:rPr>
          <w:rStyle w:val="Hyperlink"/>
          <w:color w:val="0000FF"/>
        </w:rPr>
        <w:t>E</w:t>
      </w:r>
      <w:r>
        <w:rPr>
          <w:rStyle w:val="Hyperlink"/>
          <w:color w:val="0000FF"/>
        </w:rPr>
        <w:t>fficace</w:t>
      </w:r>
      <w:r w:rsidR="00BE425F">
        <w:rPr>
          <w:rStyle w:val="Hyperlink"/>
          <w:color w:val="0000FF"/>
        </w:rPr>
        <w:t xml:space="preserve"> (PIE)</w:t>
      </w:r>
      <w:r>
        <w:t xml:space="preserve">. Les deux documents reflètent les derniers développements du mécanisme </w:t>
      </w:r>
      <w:r w:rsidR="00BE425F" w:rsidRPr="00220458">
        <w:t>PIE</w:t>
      </w:r>
      <w:r>
        <w:t xml:space="preserve">, les dernières mises à jour du </w:t>
      </w:r>
      <w:hyperlink r:id="rId16" w:history="1">
        <w:r>
          <w:rPr>
            <w:rStyle w:val="Hyperlink"/>
            <w:color w:val="0000FF"/>
          </w:rPr>
          <w:t>manuel SPHERE</w:t>
        </w:r>
      </w:hyperlink>
      <w:r>
        <w:rPr>
          <w:rStyle w:val="Hyperlink"/>
          <w:color w:val="0000FF"/>
        </w:rPr>
        <w:t>,</w:t>
      </w:r>
      <w:r>
        <w:t xml:space="preserve"> les </w:t>
      </w:r>
      <w:r w:rsidRPr="00703EB6">
        <w:t>normes humanitaires de base</w:t>
      </w:r>
      <w:r w:rsidRPr="00CF7BA2">
        <w:t xml:space="preserve"> </w:t>
      </w:r>
      <w:r>
        <w:t xml:space="preserve">et les plans </w:t>
      </w:r>
      <w:r w:rsidR="00BE425F">
        <w:t xml:space="preserve">de contingence </w:t>
      </w:r>
      <w:r>
        <w:t>du Mouvement</w:t>
      </w:r>
      <w:r w:rsidR="00E065A9">
        <w:t xml:space="preserve"> </w:t>
      </w:r>
      <w:r w:rsidRPr="002A0B3C">
        <w:t xml:space="preserve">dans la </w:t>
      </w:r>
      <w:hyperlink r:id="rId17" w:history="1">
        <w:r w:rsidRPr="002A0B3C">
          <w:rPr>
            <w:rStyle w:val="Hyperlink"/>
            <w:color w:val="0000FF"/>
          </w:rPr>
          <w:t>boîte à outils du RCCM</w:t>
        </w:r>
      </w:hyperlink>
      <w:r>
        <w:t xml:space="preserve">. </w:t>
      </w:r>
    </w:p>
    <w:p w14:paraId="70409732" w14:textId="67AE81ED" w:rsidR="002E6BA0" w:rsidRPr="009F7C10" w:rsidRDefault="002E35B8" w:rsidP="009F7C10">
      <w:pPr>
        <w:pStyle w:val="Heading2"/>
      </w:pPr>
      <w:bookmarkStart w:id="2" w:name="_Toc59440482"/>
      <w:r>
        <w:t xml:space="preserve">Plans de réponse ou </w:t>
      </w:r>
      <w:r w:rsidR="00082ED0">
        <w:rPr>
          <w:lang w:val="en-CH"/>
        </w:rPr>
        <w:t>p</w:t>
      </w:r>
      <w:proofErr w:type="spellStart"/>
      <w:r w:rsidR="004449FE">
        <w:t>lan</w:t>
      </w:r>
      <w:proofErr w:type="spellEnd"/>
      <w:r w:rsidR="004449FE">
        <w:t xml:space="preserve"> de </w:t>
      </w:r>
      <w:r w:rsidR="00082ED0">
        <w:rPr>
          <w:lang w:val="en-CH"/>
        </w:rPr>
        <w:t>c</w:t>
      </w:r>
      <w:proofErr w:type="spellStart"/>
      <w:r w:rsidR="004449FE">
        <w:t>ontingence</w:t>
      </w:r>
      <w:proofErr w:type="spellEnd"/>
      <w:r w:rsidR="004449FE">
        <w:t> </w:t>
      </w:r>
      <w:r>
        <w:t>?</w:t>
      </w:r>
      <w:bookmarkEnd w:id="2"/>
    </w:p>
    <w:p w14:paraId="75685D55" w14:textId="10D49803" w:rsidR="006F612F" w:rsidRDefault="00C61FED" w:rsidP="00FF401F">
      <w:pPr>
        <w:rPr>
          <w:rFonts w:cstheme="minorHAnsi"/>
        </w:rPr>
      </w:pPr>
      <w:r>
        <w:t xml:space="preserve">Il existe souvent une certaine confusion entre les plans de réponse (intervention) et les plans </w:t>
      </w:r>
      <w:r w:rsidR="003B2F18">
        <w:t>de contingence</w:t>
      </w:r>
      <w:r>
        <w:t>. Les plans de réponse en cas de catastrophe sont de nature préliminaire et n’abordent pas de scénarios de catastrophe spécifiques. Un plan de réponse en cas de catastrophe décrit les risques, les stratégies de réponse, les actions et les capacités dans un contexte multirisque</w:t>
      </w:r>
      <w:r w:rsidR="003B2F18">
        <w:t>.</w:t>
      </w:r>
      <w:r>
        <w:t xml:space="preserve"> </w:t>
      </w:r>
      <w:r w:rsidR="003B2F18">
        <w:t>T</w:t>
      </w:r>
      <w:r>
        <w:t xml:space="preserve">andis qu’un plan </w:t>
      </w:r>
      <w:r w:rsidR="003B2F18">
        <w:t xml:space="preserve">de contingence </w:t>
      </w:r>
      <w:r>
        <w:t>s’appuie sur le plan de réponse en cas de catastrophe et se base sur des événements spécifiques ou des risques connus aux niveaux local, national, régional ou même mondial (par exemple, tremblements de terre, inondations ou épidémies)</w:t>
      </w:r>
      <w:r w:rsidR="008473E2" w:rsidRPr="001D4193">
        <w:rPr>
          <w:vertAlign w:val="superscript"/>
        </w:rPr>
        <w:footnoteReference w:id="3"/>
      </w:r>
      <w:r>
        <w:t xml:space="preserve">. La phase de </w:t>
      </w:r>
      <w:r w:rsidR="003B2F18">
        <w:t>P</w:t>
      </w:r>
      <w:r>
        <w:t>réparation</w:t>
      </w:r>
      <w:r w:rsidR="003B2F18">
        <w:t xml:space="preserve"> (1)</w:t>
      </w:r>
      <w:r>
        <w:t xml:space="preserve"> et la première étape de la phase d’</w:t>
      </w:r>
      <w:r w:rsidR="003B2F18">
        <w:t>A</w:t>
      </w:r>
      <w:r>
        <w:t>nalyse</w:t>
      </w:r>
      <w:r w:rsidR="003B2F18">
        <w:t xml:space="preserve"> (2)</w:t>
      </w:r>
      <w:r>
        <w:t xml:space="preserve"> d</w:t>
      </w:r>
      <w:r w:rsidR="003B2F18">
        <w:t>u processus de planification d’urgence,</w:t>
      </w:r>
      <w:r>
        <w:t xml:space="preserve"> pourraient être associées à l’élaboration d’un plan de réponse. Les phases </w:t>
      </w:r>
      <w:r w:rsidR="003B2F18">
        <w:t>de Développement</w:t>
      </w:r>
      <w:r w:rsidR="006B7D08">
        <w:t xml:space="preserve"> (3)</w:t>
      </w:r>
      <w:r w:rsidR="003B2F18">
        <w:t xml:space="preserve"> </w:t>
      </w:r>
      <w:r>
        <w:t xml:space="preserve">et de </w:t>
      </w:r>
      <w:r w:rsidR="003B2F18">
        <w:t xml:space="preserve">Mise </w:t>
      </w:r>
      <w:r>
        <w:t>en œuvre</w:t>
      </w:r>
      <w:r w:rsidR="006B7D08">
        <w:t xml:space="preserve"> (4)</w:t>
      </w:r>
      <w:r>
        <w:t xml:space="preserve"> pourraient être considérées comme alimentant le plan de réponse. Les phases initiales (Préparation et première étape de l’Analyse) doivent être réalisées avant l’élaboration de tout </w:t>
      </w:r>
      <w:r w:rsidR="006B7D08">
        <w:t>Plan de Contingence</w:t>
      </w:r>
      <w:r>
        <w:t xml:space="preserve"> (planification sur un scénario spécifique). Il a donc été </w:t>
      </w:r>
      <w:r w:rsidR="006B7D08">
        <w:t xml:space="preserve">consciemment </w:t>
      </w:r>
      <w:r>
        <w:t xml:space="preserve">décidé de ne faire aucune distinction entre les plans </w:t>
      </w:r>
      <w:r w:rsidR="00F22F0D">
        <w:t xml:space="preserve">de réponse </w:t>
      </w:r>
      <w:r>
        <w:t xml:space="preserve">et les plans </w:t>
      </w:r>
      <w:r w:rsidR="00F22F0D">
        <w:t xml:space="preserve">de contingence </w:t>
      </w:r>
      <w:r>
        <w:t xml:space="preserve">et de suivre le processus décrit dans </w:t>
      </w:r>
      <w:hyperlink r:id="rId18" w:history="1">
        <w:r>
          <w:rPr>
            <w:rStyle w:val="Hyperlink"/>
            <w:color w:val="0000FF"/>
          </w:rPr>
          <w:t>le guide de planification d’urgence</w:t>
        </w:r>
      </w:hyperlink>
      <w:r>
        <w:t>.</w:t>
      </w:r>
    </w:p>
    <w:p w14:paraId="66CE7925" w14:textId="16C09539" w:rsidR="00DA5881" w:rsidRPr="009F7C10" w:rsidRDefault="00B41642" w:rsidP="009F7C10">
      <w:pPr>
        <w:pStyle w:val="Heading2"/>
      </w:pPr>
      <w:bookmarkStart w:id="3" w:name="_Toc59440483"/>
      <w:r>
        <w:t>Le processus est plus important que le plan lui-même</w:t>
      </w:r>
      <w:bookmarkEnd w:id="3"/>
    </w:p>
    <w:p w14:paraId="4D01470A" w14:textId="56AB3066" w:rsidR="00FF401F" w:rsidRDefault="001D4193" w:rsidP="00FF401F">
      <w:pPr>
        <w:rPr>
          <w:rFonts w:cstheme="minorHAnsi"/>
        </w:rPr>
      </w:pPr>
      <w:r>
        <w:t xml:space="preserve">La planification d’urgence doit être axée sur le processus </w:t>
      </w:r>
      <w:r w:rsidR="00F22F0D">
        <w:t>lui-même</w:t>
      </w:r>
      <w:r>
        <w:t>. Un</w:t>
      </w:r>
      <w:r w:rsidR="00F22F0D">
        <w:t xml:space="preserve"> plan de</w:t>
      </w:r>
      <w:r>
        <w:t xml:space="preserve"> réponse et/ou </w:t>
      </w:r>
      <w:r w:rsidR="00F22F0D">
        <w:t>de contingence écrit</w:t>
      </w:r>
      <w:r>
        <w:t xml:space="preserve"> n’est pas une fin en soi, et un plan est bien plus qu’un document. La réponse en cas de catastrophe ne peut être efficace sans </w:t>
      </w:r>
      <w:r w:rsidR="00F22F0D">
        <w:t>d</w:t>
      </w:r>
      <w:r>
        <w:t xml:space="preserve">es systèmes, </w:t>
      </w:r>
      <w:r w:rsidR="00F22F0D">
        <w:t>d</w:t>
      </w:r>
      <w:r>
        <w:t xml:space="preserve">es structures et </w:t>
      </w:r>
      <w:r w:rsidR="00F22F0D">
        <w:t>d</w:t>
      </w:r>
      <w:r>
        <w:t xml:space="preserve">es procédures de gestion et d’exploitation </w:t>
      </w:r>
      <w:r w:rsidR="00F22F0D">
        <w:t>fonctionnels</w:t>
      </w:r>
      <w:r>
        <w:t>. Le processu</w:t>
      </w:r>
      <w:r w:rsidR="000A63DC">
        <w:t>s de planification d’urgence</w:t>
      </w:r>
      <w:r>
        <w:t xml:space="preserve"> et les plans </w:t>
      </w:r>
      <w:r w:rsidR="000A63DC">
        <w:t>de contingence</w:t>
      </w:r>
      <w:r w:rsidR="00F22F0D">
        <w:t>,</w:t>
      </w:r>
      <w:r>
        <w:t xml:space="preserve"> développent les capacités, les outils, la compréhension et les collaborations nécessaires pour stimuler une préparation coordonnée et efficace, des systèmes d’alerte précoce et des opérations de réponse et de rétablissement rapides. </w:t>
      </w:r>
    </w:p>
    <w:p w14:paraId="30F59E47" w14:textId="006C8B08" w:rsidR="006A421D" w:rsidRDefault="008E10BB" w:rsidP="0055074F">
      <w:r>
        <w:t xml:space="preserve">Le processus et ses résultats doivent être adaptés aux </w:t>
      </w:r>
      <w:r w:rsidR="0055074F">
        <w:t xml:space="preserve">compétences de la </w:t>
      </w:r>
      <w:r w:rsidR="00711A83">
        <w:t>Société nationale</w:t>
      </w:r>
      <w:r w:rsidR="0055074F">
        <w:t xml:space="preserve"> </w:t>
      </w:r>
      <w:r>
        <w:t xml:space="preserve">et à </w:t>
      </w:r>
      <w:r w:rsidR="0055074F">
        <w:t>s</w:t>
      </w:r>
      <w:r>
        <w:t>a capacité de réaction. Le</w:t>
      </w:r>
      <w:r w:rsidR="0055074F">
        <w:t>s</w:t>
      </w:r>
      <w:r>
        <w:t xml:space="preserve"> document</w:t>
      </w:r>
      <w:r w:rsidR="0055074F">
        <w:t>s</w:t>
      </w:r>
      <w:r>
        <w:t xml:space="preserve"> </w:t>
      </w:r>
      <w:r w:rsidRPr="000A63DC">
        <w:rPr>
          <w:b/>
          <w:i/>
        </w:rPr>
        <w:t>Comment mener un processus de planification d’urgence</w:t>
      </w:r>
      <w:r>
        <w:t xml:space="preserve"> et </w:t>
      </w:r>
      <w:r w:rsidRPr="000A63DC">
        <w:rPr>
          <w:b/>
          <w:i/>
        </w:rPr>
        <w:t xml:space="preserve">Modèle </w:t>
      </w:r>
      <w:r w:rsidR="000A63DC" w:rsidRPr="000A63DC">
        <w:rPr>
          <w:b/>
          <w:i/>
        </w:rPr>
        <w:t>de Plan de Contingence</w:t>
      </w:r>
      <w:r w:rsidR="000A63DC">
        <w:t xml:space="preserve"> </w:t>
      </w:r>
      <w:r>
        <w:t xml:space="preserve">répondent aux besoins </w:t>
      </w:r>
      <w:r w:rsidR="0055074F">
        <w:t xml:space="preserve">divergents </w:t>
      </w:r>
      <w:r>
        <w:t>d</w:t>
      </w:r>
      <w:r w:rsidR="0055074F">
        <w:t>’une</w:t>
      </w:r>
      <w:r>
        <w:t xml:space="preserve"> approche théorique et technique nécessaire</w:t>
      </w:r>
      <w:r w:rsidR="0055074F">
        <w:t>,</w:t>
      </w:r>
      <w:r>
        <w:t xml:space="preserve"> tout en </w:t>
      </w:r>
      <w:r w:rsidR="0055074F">
        <w:t xml:space="preserve">restant </w:t>
      </w:r>
      <w:r>
        <w:t xml:space="preserve">« suffisamment simples » pour être </w:t>
      </w:r>
      <w:r w:rsidR="000A63DC">
        <w:t>ut</w:t>
      </w:r>
      <w:r w:rsidR="0055074F">
        <w:t>i</w:t>
      </w:r>
      <w:r w:rsidR="000A63DC">
        <w:t xml:space="preserve">lisés </w:t>
      </w:r>
      <w:r>
        <w:t xml:space="preserve">par une </w:t>
      </w:r>
      <w:r w:rsidR="00711A83">
        <w:t>Société nationale</w:t>
      </w:r>
      <w:r>
        <w:t xml:space="preserve"> aux ressources et au</w:t>
      </w:r>
      <w:r w:rsidR="0055074F">
        <w:t>x</w:t>
      </w:r>
      <w:r>
        <w:t xml:space="preserve"> personnel/</w:t>
      </w:r>
      <w:r w:rsidR="0055074F">
        <w:t xml:space="preserve">volontaires </w:t>
      </w:r>
      <w:r>
        <w:lastRenderedPageBreak/>
        <w:t xml:space="preserve">limités. En faisant sien ce processus et cette planification, chaque </w:t>
      </w:r>
      <w:r w:rsidR="00711A83">
        <w:t>Société nationale</w:t>
      </w:r>
      <w:r>
        <w:t xml:space="preserve"> doit donc adapter l’approche à ses propres besoins</w:t>
      </w:r>
      <w:r w:rsidR="0055074F">
        <w:t xml:space="preserve"> et cap</w:t>
      </w:r>
      <w:r w:rsidR="00D41F27">
        <w:t>a</w:t>
      </w:r>
      <w:r w:rsidR="0055074F">
        <w:t>cités</w:t>
      </w:r>
      <w:r>
        <w:t xml:space="preserve">.  </w:t>
      </w:r>
    </w:p>
    <w:p w14:paraId="13D7FC46" w14:textId="77777777" w:rsidR="006A421D" w:rsidRDefault="006A421D" w:rsidP="0055074F"/>
    <w:p w14:paraId="4510A6E9" w14:textId="6FEFB259" w:rsidR="0024710A" w:rsidRPr="00902DBF" w:rsidRDefault="0024710A" w:rsidP="009253AD">
      <w:pPr>
        <w:pStyle w:val="Heading2"/>
        <w:jc w:val="left"/>
      </w:pPr>
      <w:bookmarkStart w:id="4" w:name="_Toc59440484"/>
      <w:r>
        <w:t>La coordination avec les partenaires nationaux et ceux du Mouvement de la Croix-Rouge et du Croissant-Rouge est essentielle.</w:t>
      </w:r>
      <w:bookmarkEnd w:id="4"/>
    </w:p>
    <w:p w14:paraId="311812C4" w14:textId="77777777" w:rsidR="007C3043" w:rsidRDefault="007C3043" w:rsidP="007C3043">
      <w:pPr>
        <w:spacing w:after="0"/>
        <w:ind w:left="567" w:right="706"/>
        <w:rPr>
          <w:i/>
          <w:iCs/>
          <w:sz w:val="18"/>
          <w:szCs w:val="18"/>
        </w:rPr>
      </w:pPr>
    </w:p>
    <w:p w14:paraId="7516DEED" w14:textId="77777777" w:rsidR="007C3043" w:rsidRDefault="007C3043" w:rsidP="007C3043">
      <w:pPr>
        <w:pBdr>
          <w:top w:val="none" w:sz="0" w:space="0" w:color="auto"/>
          <w:left w:val="none" w:sz="0" w:space="0" w:color="auto"/>
          <w:bottom w:val="none" w:sz="0" w:space="0" w:color="auto"/>
          <w:right w:val="none" w:sz="0" w:space="0" w:color="auto"/>
        </w:pBdr>
        <w:shd w:val="clear" w:color="auto" w:fill="FBE6CD" w:themeFill="accent1" w:themeFillTint="33"/>
        <w:spacing w:after="0"/>
        <w:ind w:left="993" w:right="736"/>
        <w:rPr>
          <w:i/>
          <w:iCs/>
          <w:sz w:val="18"/>
          <w:szCs w:val="18"/>
        </w:rPr>
      </w:pPr>
    </w:p>
    <w:p w14:paraId="0394BF00" w14:textId="397305AA" w:rsidR="007C3043" w:rsidRPr="009F7C10" w:rsidRDefault="007C3043" w:rsidP="007C3043">
      <w:pPr>
        <w:pBdr>
          <w:top w:val="none" w:sz="0" w:space="0" w:color="auto"/>
          <w:left w:val="none" w:sz="0" w:space="0" w:color="auto"/>
          <w:bottom w:val="none" w:sz="0" w:space="0" w:color="auto"/>
          <w:right w:val="none" w:sz="0" w:space="0" w:color="auto"/>
        </w:pBdr>
        <w:shd w:val="clear" w:color="auto" w:fill="FBE6CD" w:themeFill="accent1" w:themeFillTint="33"/>
        <w:spacing w:after="0"/>
        <w:ind w:left="993" w:right="736"/>
        <w:rPr>
          <w:i/>
          <w:iCs/>
          <w:sz w:val="18"/>
          <w:szCs w:val="18"/>
        </w:rPr>
      </w:pPr>
      <w:r>
        <w:rPr>
          <w:i/>
          <w:iCs/>
          <w:sz w:val="18"/>
          <w:szCs w:val="18"/>
        </w:rPr>
        <w:t xml:space="preserve">« Nous </w:t>
      </w:r>
      <w:r w:rsidR="002D71AD">
        <w:rPr>
          <w:i/>
          <w:iCs/>
          <w:sz w:val="18"/>
          <w:szCs w:val="18"/>
        </w:rPr>
        <w:t xml:space="preserve">allons promouvoir </w:t>
      </w:r>
      <w:r>
        <w:rPr>
          <w:i/>
          <w:iCs/>
          <w:sz w:val="18"/>
          <w:szCs w:val="18"/>
        </w:rPr>
        <w:t>et mettr</w:t>
      </w:r>
      <w:r w:rsidR="002D71AD">
        <w:rPr>
          <w:i/>
          <w:iCs/>
          <w:sz w:val="18"/>
          <w:szCs w:val="18"/>
        </w:rPr>
        <w:t>e</w:t>
      </w:r>
      <w:r>
        <w:rPr>
          <w:i/>
          <w:iCs/>
          <w:sz w:val="18"/>
          <w:szCs w:val="18"/>
        </w:rPr>
        <w:t xml:space="preserve"> en œuvre des réunions et des accords préalables aux catastrophes, des plans </w:t>
      </w:r>
      <w:r>
        <w:rPr>
          <w:rStyle w:val="FootnoteReference"/>
          <w:i/>
          <w:iCs/>
          <w:sz w:val="18"/>
          <w:szCs w:val="18"/>
        </w:rPr>
        <w:footnoteReference w:id="4"/>
      </w:r>
      <w:r>
        <w:rPr>
          <w:i/>
          <w:iCs/>
          <w:sz w:val="18"/>
          <w:szCs w:val="18"/>
        </w:rPr>
        <w:t xml:space="preserve"> de réponse et de préparation aux niveaux national et régional, en assurant la participation des gouvernements nationaux, des parties prenantes externes concernées, des systèmes régionaux intergouvernementaux de gestion des catastrophes et des partenaires du Mouvement. Nous aiderons également les autorités gouvernementales à évaluer et à renforcer leurs lois, politiques, stratégies et plans de gestion des risques de catastrophes, en encourageant les autorités à attribuer des rôles et des responsabilités clairs à la </w:t>
      </w:r>
      <w:r w:rsidR="00711A83">
        <w:rPr>
          <w:i/>
          <w:iCs/>
          <w:sz w:val="18"/>
          <w:szCs w:val="18"/>
        </w:rPr>
        <w:t>Société nationale</w:t>
      </w:r>
      <w:r>
        <w:rPr>
          <w:i/>
          <w:iCs/>
          <w:sz w:val="18"/>
          <w:szCs w:val="18"/>
        </w:rPr>
        <w:t>, conformément à son rôle d’auxiliaire. »</w:t>
      </w:r>
    </w:p>
    <w:p w14:paraId="7C7015A6" w14:textId="77777777" w:rsidR="007C3043" w:rsidRPr="009F7C10" w:rsidRDefault="007C3043" w:rsidP="007C3043">
      <w:pPr>
        <w:pBdr>
          <w:top w:val="none" w:sz="0" w:space="0" w:color="auto"/>
          <w:left w:val="none" w:sz="0" w:space="0" w:color="auto"/>
          <w:bottom w:val="none" w:sz="0" w:space="0" w:color="auto"/>
          <w:right w:val="none" w:sz="0" w:space="0" w:color="auto"/>
        </w:pBdr>
        <w:shd w:val="clear" w:color="auto" w:fill="FBE6CD" w:themeFill="accent1" w:themeFillTint="33"/>
        <w:spacing w:after="0"/>
        <w:ind w:left="993" w:right="736"/>
        <w:rPr>
          <w:i/>
          <w:iCs/>
          <w:sz w:val="18"/>
          <w:szCs w:val="18"/>
        </w:rPr>
      </w:pPr>
    </w:p>
    <w:p w14:paraId="346DB7F1" w14:textId="18A7CBC4" w:rsidR="007C3043" w:rsidRPr="009F7C10" w:rsidRDefault="007C3043" w:rsidP="007C3043">
      <w:pPr>
        <w:pBdr>
          <w:top w:val="none" w:sz="0" w:space="0" w:color="auto"/>
          <w:left w:val="none" w:sz="0" w:space="0" w:color="auto"/>
          <w:bottom w:val="none" w:sz="0" w:space="0" w:color="auto"/>
          <w:right w:val="none" w:sz="0" w:space="0" w:color="auto"/>
        </w:pBdr>
        <w:shd w:val="clear" w:color="auto" w:fill="FBE6CD" w:themeFill="accent1" w:themeFillTint="33"/>
        <w:spacing w:after="0"/>
        <w:ind w:left="993" w:right="736"/>
        <w:rPr>
          <w:i/>
          <w:iCs/>
          <w:sz w:val="18"/>
          <w:szCs w:val="18"/>
        </w:rPr>
      </w:pPr>
      <w:r>
        <w:rPr>
          <w:i/>
          <w:iCs/>
          <w:sz w:val="18"/>
          <w:szCs w:val="18"/>
        </w:rPr>
        <w:t xml:space="preserve">Politique de </w:t>
      </w:r>
      <w:hyperlink r:id="rId19" w:history="1">
        <w:r>
          <w:rPr>
            <w:rStyle w:val="Hyperlink"/>
            <w:color w:val="0000FF"/>
            <w:sz w:val="18"/>
            <w:szCs w:val="18"/>
          </w:rPr>
          <w:t>gestion des risques de catastrophes de la FICR</w:t>
        </w:r>
      </w:hyperlink>
      <w:r>
        <w:rPr>
          <w:i/>
          <w:iCs/>
          <w:sz w:val="18"/>
          <w:szCs w:val="18"/>
        </w:rPr>
        <w:t xml:space="preserve"> - de la prévention à la réponse et au rétablissement (décembre 2019)</w:t>
      </w:r>
    </w:p>
    <w:p w14:paraId="083B3125" w14:textId="77777777" w:rsidR="007C3043" w:rsidRDefault="007C3043" w:rsidP="00ED644E">
      <w:pPr>
        <w:spacing w:after="0"/>
      </w:pPr>
    </w:p>
    <w:p w14:paraId="364E63D1" w14:textId="698D1740" w:rsidR="002F2A0B" w:rsidRDefault="00ED644E" w:rsidP="00ED644E">
      <w:pPr>
        <w:spacing w:after="0"/>
      </w:pPr>
      <w:r>
        <w:t xml:space="preserve">L’élaboration de plans </w:t>
      </w:r>
      <w:r w:rsidR="00C60893">
        <w:t xml:space="preserve">de Contingence </w:t>
      </w:r>
      <w:r>
        <w:t xml:space="preserve">aide les </w:t>
      </w:r>
      <w:r w:rsidR="00711A83">
        <w:t>Sociétés nationales</w:t>
      </w:r>
      <w:r>
        <w:t xml:space="preserve"> à s’entendre en interne et avec les partenaires sur les rôles et responsabilités en matière d’intervention ainsi que sur les ressources allouées. </w:t>
      </w:r>
    </w:p>
    <w:p w14:paraId="674355FF" w14:textId="77777777" w:rsidR="002F2A0B" w:rsidRDefault="002F2A0B" w:rsidP="00ED644E">
      <w:pPr>
        <w:spacing w:after="0"/>
      </w:pPr>
    </w:p>
    <w:p w14:paraId="28B5DEE7" w14:textId="6F72F275" w:rsidR="00ED644E" w:rsidRDefault="00ED644E" w:rsidP="00ED644E">
      <w:pPr>
        <w:spacing w:after="0"/>
      </w:pPr>
      <w:r>
        <w:t xml:space="preserve">Par exemple, pour la réponse à une épidémie, le personnel de la </w:t>
      </w:r>
      <w:r w:rsidR="00711A83">
        <w:t>Société nationale</w:t>
      </w:r>
      <w:r>
        <w:t xml:space="preserve"> au niveau du siège/des </w:t>
      </w:r>
      <w:r w:rsidR="0038777C">
        <w:rPr>
          <w:lang w:val="en-CH"/>
        </w:rPr>
        <w:t>sections</w:t>
      </w:r>
      <w:r>
        <w:t xml:space="preserve"> devra-t-il participer à l’évaluation initiale du ministère de la Santé ? Si oui, qui y participera et de quels outils et capacités doivent-ils disposer ? Qui se chargera de la mobilisation sociale et où ? Qui sera responsable du programme WASH ? La </w:t>
      </w:r>
      <w:r w:rsidR="00711A83">
        <w:t>Société nationale</w:t>
      </w:r>
      <w:r>
        <w:t xml:space="preserve"> a-t-elle un rôle à jouer dans la gestion des cas de choléra ? Et pour l’Ebola ? Ce sont là quelques-unes des questions auxquelles les plans </w:t>
      </w:r>
      <w:r w:rsidR="006868D1">
        <w:t xml:space="preserve">de contingence </w:t>
      </w:r>
      <w:r>
        <w:t xml:space="preserve">devraient apporter des réponses. </w:t>
      </w:r>
    </w:p>
    <w:p w14:paraId="43A629F9" w14:textId="77777777" w:rsidR="0077545E" w:rsidRPr="007773B5" w:rsidRDefault="0077545E" w:rsidP="00ED644E">
      <w:pPr>
        <w:spacing w:after="0"/>
      </w:pPr>
    </w:p>
    <w:p w14:paraId="400DEBAF" w14:textId="3933BAD4" w:rsidR="00ED644E" w:rsidRDefault="00ED644E" w:rsidP="00902DBF">
      <w:pPr>
        <w:spacing w:after="0"/>
      </w:pPr>
      <w:r>
        <w:t xml:space="preserve">Sur la base de scénarios de risque, la </w:t>
      </w:r>
      <w:r w:rsidR="00711A83">
        <w:t>Société nationale</w:t>
      </w:r>
      <w:r>
        <w:t xml:space="preserve"> peut élaborer un </w:t>
      </w:r>
      <w:r w:rsidR="00851734">
        <w:t>plan de contingence</w:t>
      </w:r>
      <w:r>
        <w:t xml:space="preserve"> décrivant son rôle au niveau </w:t>
      </w:r>
      <w:r w:rsidR="00851734">
        <w:t>du siège</w:t>
      </w:r>
      <w:r>
        <w:t xml:space="preserve">, des branches et des communautés. Il est important que ce plan s’aligne largement sur les plans de gestion des catastrophes et d’intervention en matière de santé publique du gouvernement. Il peut y avoir plusieurs </w:t>
      </w:r>
      <w:r w:rsidR="006868D1">
        <w:t>plans de contingence</w:t>
      </w:r>
      <w:r>
        <w:t>. Dans le cas d’une pandémie, il peut y avoir un plan pour un</w:t>
      </w:r>
      <w:r w:rsidR="00A71D81">
        <w:t xml:space="preserve">e </w:t>
      </w:r>
      <w:r w:rsidR="00A71D81" w:rsidRPr="00430A31">
        <w:t>flambée</w:t>
      </w:r>
      <w:r w:rsidRPr="00430A31">
        <w:t xml:space="preserve"> épidémique</w:t>
      </w:r>
      <w:r>
        <w:t xml:space="preserve"> spécifique, un type de transmission ou une stratégie multirisque. Les types et l’ampleur des réponses auxquelles la </w:t>
      </w:r>
      <w:r w:rsidR="00711A83">
        <w:t>Société nationale</w:t>
      </w:r>
      <w:r>
        <w:t xml:space="preserve"> est préparée peuvent varier selon la cause. Ainsi, une </w:t>
      </w:r>
      <w:r w:rsidR="00711A83">
        <w:t>Société nationale</w:t>
      </w:r>
      <w:r>
        <w:t xml:space="preserve"> peut être prête à soutenir la gestion clinique du choléra, mais n</w:t>
      </w:r>
      <w:r w:rsidR="00A71D81">
        <w:t>e</w:t>
      </w:r>
      <w:r>
        <w:t xml:space="preserve"> pas</w:t>
      </w:r>
      <w:r w:rsidR="00A71D81">
        <w:t xml:space="preserve"> avoir</w:t>
      </w:r>
      <w:r>
        <w:t xml:space="preserve"> la capacité technique ou les ressources nécessaires pour entreprendre celle de l’Ebola ou de la maladie due au virus de Marburg. Il convient impérativement de souligner ces limites et d’identifier des seuils pour demander une assistance régionale ou internationale. </w:t>
      </w:r>
    </w:p>
    <w:p w14:paraId="5FF29D5B" w14:textId="77777777" w:rsidR="00522C9B" w:rsidRDefault="00522C9B" w:rsidP="00902DBF">
      <w:pPr>
        <w:spacing w:after="0"/>
      </w:pPr>
    </w:p>
    <w:p w14:paraId="0DB4238C" w14:textId="2D16D08A" w:rsidR="00522C9B" w:rsidRDefault="00522C9B" w:rsidP="00522C9B">
      <w:r>
        <w:t xml:space="preserve">Comme mentionné ci-dessus, les processus de planification renforcent les capacités, les outils, la compréhension et les collaborations pour ainsi favoriser une préparation efficace et des opérations de réponse bien coordonnées. Ce constat est d’autant plus pertinent si les partenaires du Mouvement sont déjà présents dans le pays d’une </w:t>
      </w:r>
      <w:r w:rsidR="00711A83">
        <w:t>Société nationale</w:t>
      </w:r>
      <w:r>
        <w:t xml:space="preserve"> donnée. Les événements récents montrent que la préparation en tant que Mouvement (c’est-à-dire le </w:t>
      </w:r>
      <w:r w:rsidR="00851734">
        <w:t>Plan de Contingence</w:t>
      </w:r>
      <w:r>
        <w:t xml:space="preserve"> du Mouvement - de l’anglais MCP) permet non seulement d’intervenir en utilisant toute la gamme de services et de soutien disponibles au sein du Mouvement, mais contribue également à accroître la crédibilité, l’efficacité et l’impact de toutes les composantes du Mouvement. La préparation conjointe consiste à discuter et à traiter à l’avance ensemble des questions et des défis difficiles, par exemple en ce qui concerne la coordination logistique, la mobilisation des ressources et les rôles et responsabilités. Si plusieurs partenaires du Mouvement sont présents dans un même pays, il est donc recommandé aux </w:t>
      </w:r>
      <w:r w:rsidR="00711A83">
        <w:t>Sociétés nationales</w:t>
      </w:r>
      <w:r>
        <w:t xml:space="preserve"> d’envisager une réponse collective et d’encourager un processus de planification collective. Les principes directeurs relatifs aux </w:t>
      </w:r>
      <w:r w:rsidR="00A71D81">
        <w:t>Plans de C</w:t>
      </w:r>
      <w:r w:rsidR="006868D1">
        <w:t>ontingence</w:t>
      </w:r>
      <w:r>
        <w:t xml:space="preserve"> du Mouvement figurent dans la </w:t>
      </w:r>
      <w:hyperlink r:id="rId20" w:history="1">
        <w:r>
          <w:rPr>
            <w:rStyle w:val="Hyperlink"/>
            <w:color w:val="0000FF"/>
          </w:rPr>
          <w:t>boîte à outils du RCCM</w:t>
        </w:r>
      </w:hyperlink>
      <w:r>
        <w:t>.</w:t>
      </w:r>
    </w:p>
    <w:p w14:paraId="68EDE625" w14:textId="77777777" w:rsidR="00947F90" w:rsidRPr="00522C9B" w:rsidRDefault="00947F90" w:rsidP="00522C9B"/>
    <w:p w14:paraId="6AD4B458" w14:textId="61D9064C" w:rsidR="00095B71" w:rsidRDefault="00095B71" w:rsidP="00095B71">
      <w:pPr>
        <w:pStyle w:val="Heading2"/>
      </w:pPr>
      <w:bookmarkStart w:id="5" w:name="_Toc59440485"/>
      <w:r>
        <w:t>Importance de la coordination des processus et des initiatives</w:t>
      </w:r>
      <w:bookmarkEnd w:id="5"/>
    </w:p>
    <w:p w14:paraId="50FED028" w14:textId="1EBB4071" w:rsidR="00095B71" w:rsidRDefault="00095B71" w:rsidP="00095B71">
      <w:pPr>
        <w:spacing w:after="0"/>
        <w:ind w:right="-2"/>
        <w:jc w:val="left"/>
      </w:pPr>
    </w:p>
    <w:p w14:paraId="5A847F86" w14:textId="0552D7E0" w:rsidR="00095B71" w:rsidRDefault="00095B71" w:rsidP="00E3184E">
      <w:pPr>
        <w:spacing w:after="0"/>
        <w:ind w:right="-2"/>
      </w:pPr>
      <w:r>
        <w:t xml:space="preserve">Les </w:t>
      </w:r>
      <w:r w:rsidR="00711A83">
        <w:t>Sociétés nationales</w:t>
      </w:r>
      <w:r>
        <w:t xml:space="preserve"> et la FICR, en tant </w:t>
      </w:r>
      <w:r w:rsidR="008C1AE4">
        <w:t>qu’int</w:t>
      </w:r>
      <w:r>
        <w:t>ervenants clés</w:t>
      </w:r>
      <w:r w:rsidR="008C1AE4">
        <w:t xml:space="preserve"> de premier secours</w:t>
      </w:r>
      <w:r>
        <w:t>, doivent être activement engagé</w:t>
      </w:r>
      <w:r w:rsidR="008C1AE4">
        <w:t>s</w:t>
      </w:r>
      <w:r>
        <w:t xml:space="preserve"> dans les processus nationaux de gestion des risques </w:t>
      </w:r>
      <w:r w:rsidR="008C1AE4">
        <w:t xml:space="preserve">de catastrophe, pour s’assurer qu’ils connaissent les mécanismes de suivi </w:t>
      </w:r>
      <w:r w:rsidR="008C1AE4" w:rsidRPr="008C1AE4">
        <w:t>nationaux de risques et qu’ils participent aux Plans de Contingence pour répondre aux risques modérés à élevés identifiés</w:t>
      </w:r>
      <w:r w:rsidRPr="008C1AE4">
        <w:t>. L’approche du Comité permanent inter</w:t>
      </w:r>
      <w:r w:rsidR="009F3EB5">
        <w:t>-</w:t>
      </w:r>
      <w:r w:rsidRPr="008C1AE4">
        <w:t xml:space="preserve">organisations (IASC) en matière de </w:t>
      </w:r>
      <w:hyperlink r:id="rId21" w:history="1">
        <w:r w:rsidRPr="008C1AE4">
          <w:rPr>
            <w:rStyle w:val="Hyperlink"/>
            <w:color w:val="0000FF"/>
          </w:rPr>
          <w:t>préparation et de réponse aux situations d’urgence (</w:t>
        </w:r>
        <w:r w:rsidR="008C1AE4" w:rsidRPr="008C1AE4">
          <w:rPr>
            <w:rStyle w:val="Hyperlink"/>
            <w:color w:val="0000FF"/>
          </w:rPr>
          <w:t>ERP</w:t>
        </w:r>
        <w:r w:rsidRPr="008C1AE4">
          <w:rPr>
            <w:rStyle w:val="Hyperlink"/>
            <w:color w:val="0000FF"/>
          </w:rPr>
          <w:t>)</w:t>
        </w:r>
      </w:hyperlink>
      <w:r w:rsidRPr="008C1AE4">
        <w:t xml:space="preserve">, qui guide les équipes </w:t>
      </w:r>
      <w:r w:rsidR="008C1AE4" w:rsidRPr="008C1AE4">
        <w:t xml:space="preserve">coordonnées </w:t>
      </w:r>
      <w:r w:rsidRPr="008C1AE4">
        <w:t xml:space="preserve">des </w:t>
      </w:r>
      <w:r w:rsidR="008C1AE4" w:rsidRPr="008C1AE4">
        <w:t xml:space="preserve">agences des </w:t>
      </w:r>
      <w:r w:rsidRPr="008C1AE4">
        <w:t>Nations Unies et des organisations humanitaires</w:t>
      </w:r>
      <w:r w:rsidR="008C1AE4" w:rsidRPr="008C1AE4">
        <w:t xml:space="preserve"> dans le pays</w:t>
      </w:r>
      <w:r w:rsidRPr="008C1AE4">
        <w:t>, est act</w:t>
      </w:r>
      <w:r w:rsidR="00024A53">
        <w:t>uellement en cours de révision.</w:t>
      </w:r>
    </w:p>
    <w:p w14:paraId="5630640C" w14:textId="197AF8A1" w:rsidR="00410117" w:rsidRDefault="00410117" w:rsidP="00E3184E">
      <w:pPr>
        <w:spacing w:after="0"/>
        <w:ind w:right="-2"/>
      </w:pPr>
    </w:p>
    <w:p w14:paraId="1DA0EAEB" w14:textId="4E7BF367" w:rsidR="00410117" w:rsidRDefault="00E27E73" w:rsidP="00E3184E">
      <w:pPr>
        <w:spacing w:after="0"/>
        <w:ind w:right="-2"/>
      </w:pPr>
      <w:r w:rsidRPr="00E27E73">
        <w:t xml:space="preserve">L'illustration ci-dessous indique comment la planification d'urgence est liée au continuum de la gestion des catastrophes et au mécanisme </w:t>
      </w:r>
      <w:r>
        <w:t>PIE</w:t>
      </w:r>
      <w:r w:rsidRPr="00E27E73">
        <w:t xml:space="preserve"> de la FICR.</w:t>
      </w:r>
    </w:p>
    <w:p w14:paraId="0435A038" w14:textId="0A6096D5" w:rsidR="00E27E73" w:rsidRDefault="002B74EE" w:rsidP="009E3F67">
      <w:pPr>
        <w:spacing w:after="0"/>
        <w:ind w:right="-2"/>
        <w:jc w:val="left"/>
      </w:pPr>
      <w:r>
        <w:rPr>
          <w:noProof/>
        </w:rPr>
        <w:drawing>
          <wp:inline distT="0" distB="0" distL="0" distR="0" wp14:anchorId="36872BB1" wp14:editId="3B32058D">
            <wp:extent cx="6408420" cy="3844925"/>
            <wp:effectExtent l="0" t="0" r="0" b="3175"/>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8420" cy="3844925"/>
                    </a:xfrm>
                    <a:prstGeom prst="rect">
                      <a:avLst/>
                    </a:prstGeom>
                  </pic:spPr>
                </pic:pic>
              </a:graphicData>
            </a:graphic>
          </wp:inline>
        </w:drawing>
      </w:r>
    </w:p>
    <w:p w14:paraId="5B37A567" w14:textId="1A92A81E" w:rsidR="00E27E73" w:rsidRDefault="00E27E73" w:rsidP="009E3F67">
      <w:pPr>
        <w:spacing w:after="0"/>
        <w:ind w:right="-2"/>
        <w:jc w:val="left"/>
      </w:pPr>
    </w:p>
    <w:p w14:paraId="281D0E39" w14:textId="77777777" w:rsidR="00095B71" w:rsidRDefault="00095B71" w:rsidP="00095B71">
      <w:pPr>
        <w:spacing w:after="0"/>
        <w:ind w:right="-2"/>
        <w:jc w:val="left"/>
      </w:pPr>
    </w:p>
    <w:p w14:paraId="0E6B30B4" w14:textId="75C2DBF1" w:rsidR="005625C7" w:rsidRDefault="003578C9" w:rsidP="005625C7">
      <w:pPr>
        <w:spacing w:after="0"/>
        <w:ind w:right="-2"/>
      </w:pPr>
      <w:r>
        <w:t xml:space="preserve">Si votre </w:t>
      </w:r>
      <w:r w:rsidR="00711A83">
        <w:t>Société nationale</w:t>
      </w:r>
      <w:r>
        <w:t xml:space="preserve"> a fait l’objet d’une évaluation </w:t>
      </w:r>
      <w:r w:rsidR="009D727A">
        <w:t>PIE</w:t>
      </w:r>
      <w:r>
        <w:t xml:space="preserve">, les résultats seront particulièrement utiles pour le processus de planification d’urgence. Si le processus </w:t>
      </w:r>
      <w:r w:rsidR="009D727A">
        <w:t xml:space="preserve">PIE </w:t>
      </w:r>
      <w:r>
        <w:t xml:space="preserve">est en cours, il peut </w:t>
      </w:r>
      <w:r w:rsidR="005815E0">
        <w:t xml:space="preserve">également </w:t>
      </w:r>
      <w:r>
        <w:t>fournir un résumé des composantes qui fonctionnent bien et de celles qui doivent être améliorées, en soulignant certains points forts et</w:t>
      </w:r>
      <w:r w:rsidR="005815E0">
        <w:t xml:space="preserve"> les</w:t>
      </w:r>
      <w:r>
        <w:t xml:space="preserve"> lacunes spécifiques. Le processus </w:t>
      </w:r>
      <w:r w:rsidR="009D727A">
        <w:t xml:space="preserve">PIE </w:t>
      </w:r>
      <w:r>
        <w:t xml:space="preserve">est plus large que celui de la planification d’urgence (car il se concentre sur des risques spécifiques ou une combinaison de ceux-ci), certaines activités sont similaires. Le processus </w:t>
      </w:r>
      <w:r w:rsidR="005815E0">
        <w:t>de planification d’urgence</w:t>
      </w:r>
      <w:r w:rsidR="009D727A">
        <w:t xml:space="preserve"> </w:t>
      </w:r>
      <w:r>
        <w:t xml:space="preserve">peut alimenter le processus </w:t>
      </w:r>
      <w:r w:rsidR="009D727A">
        <w:t>PIE</w:t>
      </w:r>
      <w:r>
        <w:t>. Le</w:t>
      </w:r>
      <w:r>
        <w:rPr>
          <w:bCs/>
          <w:i/>
          <w:szCs w:val="20"/>
        </w:rPr>
        <w:t xml:space="preserve"> </w:t>
      </w:r>
      <w:hyperlink r:id="rId23" w:history="1">
        <w:r w:rsidR="005815E0">
          <w:rPr>
            <w:rStyle w:val="Hyperlink"/>
            <w:color w:val="0000FF"/>
          </w:rPr>
          <w:t>Guide d’analyse</w:t>
        </w:r>
        <w:r w:rsidR="009D727A">
          <w:rPr>
            <w:rStyle w:val="Hyperlink"/>
            <w:color w:val="0000FF"/>
          </w:rPr>
          <w:t xml:space="preserve"> PIE</w:t>
        </w:r>
      </w:hyperlink>
      <w:r w:rsidR="009D727A" w:rsidRPr="005815E0">
        <w:rPr>
          <w:rStyle w:val="Hyperlink"/>
          <w:color w:val="0000FF"/>
          <w:u w:val="none"/>
        </w:rPr>
        <w:t xml:space="preserve"> </w:t>
      </w:r>
      <w:r>
        <w:t xml:space="preserve">contient des liens vers les 37 </w:t>
      </w:r>
      <w:r w:rsidR="005815E0">
        <w:t xml:space="preserve">catégories </w:t>
      </w:r>
      <w:r>
        <w:t>et</w:t>
      </w:r>
      <w:r w:rsidR="005815E0">
        <w:t xml:space="preserve"> leurs</w:t>
      </w:r>
      <w:r>
        <w:t xml:space="preserve"> </w:t>
      </w:r>
      <w:r w:rsidR="005815E0">
        <w:t>indicateurs de références</w:t>
      </w:r>
      <w:r>
        <w:t xml:space="preserve">. Des liens vers le mécanisme de </w:t>
      </w:r>
      <w:hyperlink r:id="rId24" w:history="1">
        <w:r w:rsidR="005815E0">
          <w:rPr>
            <w:rStyle w:val="Hyperlink"/>
            <w:color w:val="0000FF"/>
          </w:rPr>
          <w:t>P</w:t>
        </w:r>
        <w:r>
          <w:rPr>
            <w:rStyle w:val="Hyperlink"/>
            <w:color w:val="0000FF"/>
          </w:rPr>
          <w:t xml:space="preserve">réparation </w:t>
        </w:r>
        <w:r w:rsidR="005815E0">
          <w:rPr>
            <w:rStyle w:val="Hyperlink"/>
            <w:color w:val="0000FF"/>
          </w:rPr>
          <w:t xml:space="preserve">pour une Intervention Efficace </w:t>
        </w:r>
        <w:r>
          <w:rPr>
            <w:rStyle w:val="Hyperlink"/>
            <w:color w:val="0000FF"/>
          </w:rPr>
          <w:t xml:space="preserve"> </w:t>
        </w:r>
      </w:hyperlink>
      <w:r>
        <w:t>(</w:t>
      </w:r>
      <w:r w:rsidR="005815E0">
        <w:t>PIE</w:t>
      </w:r>
      <w:r>
        <w:t>)</w:t>
      </w:r>
      <w:r w:rsidR="005815E0">
        <w:t xml:space="preserve"> de la </w:t>
      </w:r>
      <w:r w:rsidR="00711A83">
        <w:t>Société nationale</w:t>
      </w:r>
      <w:r>
        <w:t xml:space="preserve"> sont indiqués, pour permettre aux </w:t>
      </w:r>
      <w:r w:rsidR="00711A83">
        <w:t>Sociétés nationales</w:t>
      </w:r>
      <w:r>
        <w:t xml:space="preserve"> déjà engagées dans le renforcement de leur processus </w:t>
      </w:r>
      <w:r w:rsidR="005815E0">
        <w:t xml:space="preserve">PIE </w:t>
      </w:r>
      <w:r>
        <w:t>de se référer à des informations qu’elles auraient déjà pu recueillir.</w:t>
      </w:r>
    </w:p>
    <w:p w14:paraId="5840BFF6" w14:textId="77777777" w:rsidR="004222E5" w:rsidRDefault="004222E5" w:rsidP="005625C7">
      <w:pPr>
        <w:spacing w:after="0"/>
        <w:ind w:right="-2"/>
      </w:pPr>
    </w:p>
    <w:p w14:paraId="7D178D6D" w14:textId="717E0E80" w:rsidR="00095B71" w:rsidRDefault="00095B71" w:rsidP="00095B71">
      <w:r>
        <w:t xml:space="preserve">Pour les </w:t>
      </w:r>
      <w:r w:rsidR="00711A83">
        <w:t>Sociétés nationales</w:t>
      </w:r>
      <w:r>
        <w:t xml:space="preserve"> qui travaillent également sur le </w:t>
      </w:r>
      <w:hyperlink r:id="rId25" w:history="1">
        <w:r>
          <w:rPr>
            <w:rStyle w:val="Hyperlink"/>
            <w:color w:val="0000FF"/>
          </w:rPr>
          <w:t xml:space="preserve">financement </w:t>
        </w:r>
        <w:r w:rsidR="00D21586">
          <w:rPr>
            <w:rStyle w:val="Hyperlink"/>
            <w:color w:val="0000FF"/>
          </w:rPr>
          <w:t xml:space="preserve">fondé </w:t>
        </w:r>
        <w:r>
          <w:rPr>
            <w:rStyle w:val="Hyperlink"/>
            <w:color w:val="0000FF"/>
          </w:rPr>
          <w:t>sur les prévisions (</w:t>
        </w:r>
        <w:proofErr w:type="spellStart"/>
        <w:r>
          <w:rPr>
            <w:rStyle w:val="Hyperlink"/>
            <w:color w:val="0000FF"/>
          </w:rPr>
          <w:t>FbF</w:t>
        </w:r>
        <w:proofErr w:type="spellEnd"/>
        <w:r>
          <w:rPr>
            <w:rStyle w:val="Hyperlink"/>
            <w:color w:val="0000FF"/>
          </w:rPr>
          <w:t>)</w:t>
        </w:r>
      </w:hyperlink>
      <w:r w:rsidR="004B6148">
        <w:rPr>
          <w:rStyle w:val="FootnoteReference"/>
          <w:color w:val="0000FF"/>
          <w:u w:val="single"/>
        </w:rPr>
        <w:footnoteReference w:id="5"/>
      </w:r>
      <w:r>
        <w:t xml:space="preserve"> les liens entre le processus de planification d’urgence et le </w:t>
      </w:r>
      <w:proofErr w:type="spellStart"/>
      <w:r>
        <w:t>FbF</w:t>
      </w:r>
      <w:proofErr w:type="spellEnd"/>
      <w:r w:rsidR="003B0DCE">
        <w:rPr>
          <w:rStyle w:val="FootnoteReference"/>
        </w:rPr>
        <w:footnoteReference w:id="6"/>
      </w:r>
      <w:r>
        <w:t xml:space="preserve"> sont mentionnés tout au long du document et des conseils supplémentaires sur les deux outils de planification peuvent être trouvés dans le document,</w:t>
      </w:r>
      <w:r w:rsidR="004B6148">
        <w:t xml:space="preserve"> </w:t>
      </w:r>
      <w:hyperlink r:id="rId26" w:history="1">
        <w:r>
          <w:rPr>
            <w:rStyle w:val="Hyperlink"/>
            <w:color w:val="0000FF"/>
          </w:rPr>
          <w:t xml:space="preserve">sur les liens entre la </w:t>
        </w:r>
        <w:r w:rsidR="004B6148">
          <w:rPr>
            <w:rStyle w:val="Hyperlink"/>
            <w:color w:val="0000FF"/>
          </w:rPr>
          <w:t>P</w:t>
        </w:r>
        <w:r>
          <w:rPr>
            <w:rStyle w:val="Hyperlink"/>
            <w:color w:val="0000FF"/>
          </w:rPr>
          <w:t xml:space="preserve">réparation </w:t>
        </w:r>
        <w:r w:rsidR="004B6148">
          <w:rPr>
            <w:rStyle w:val="Hyperlink"/>
            <w:color w:val="0000FF"/>
          </w:rPr>
          <w:t xml:space="preserve">pour une Intervention Efficace </w:t>
        </w:r>
        <w:r>
          <w:rPr>
            <w:rStyle w:val="Hyperlink"/>
            <w:color w:val="0000FF"/>
          </w:rPr>
          <w:t>de</w:t>
        </w:r>
        <w:r w:rsidR="004B6148">
          <w:rPr>
            <w:rStyle w:val="Hyperlink"/>
            <w:color w:val="0000FF"/>
          </w:rPr>
          <w:t xml:space="preserve"> la</w:t>
        </w:r>
        <w:r>
          <w:rPr>
            <w:rStyle w:val="Hyperlink"/>
            <w:color w:val="0000FF"/>
          </w:rPr>
          <w:t xml:space="preserve"> </w:t>
        </w:r>
        <w:r w:rsidR="00711A83">
          <w:rPr>
            <w:rStyle w:val="Hyperlink"/>
            <w:color w:val="0000FF"/>
          </w:rPr>
          <w:t>Société nationale</w:t>
        </w:r>
        <w:r>
          <w:rPr>
            <w:rStyle w:val="Hyperlink"/>
            <w:color w:val="0000FF"/>
          </w:rPr>
          <w:t xml:space="preserve"> et le </w:t>
        </w:r>
        <w:proofErr w:type="spellStart"/>
        <w:r>
          <w:rPr>
            <w:rStyle w:val="Hyperlink"/>
            <w:color w:val="0000FF"/>
          </w:rPr>
          <w:t>FbF</w:t>
        </w:r>
        <w:proofErr w:type="spellEnd"/>
      </w:hyperlink>
      <w:r>
        <w:t>. Le Protocole d’</w:t>
      </w:r>
      <w:r w:rsidR="00072147">
        <w:t>A</w:t>
      </w:r>
      <w:r>
        <w:t xml:space="preserve">ction </w:t>
      </w:r>
      <w:r w:rsidR="00072147">
        <w:t>P</w:t>
      </w:r>
      <w:r w:rsidR="004B6148">
        <w:t xml:space="preserve">récoce </w:t>
      </w:r>
      <w:r>
        <w:t>(</w:t>
      </w:r>
      <w:r w:rsidR="00072147">
        <w:t>PAP</w:t>
      </w:r>
      <w:r w:rsidR="004B6148">
        <w:rPr>
          <w:rStyle w:val="FootnoteReference"/>
        </w:rPr>
        <w:footnoteReference w:id="7"/>
      </w:r>
      <w:r>
        <w:t>) et le</w:t>
      </w:r>
      <w:r w:rsidR="004B6148">
        <w:t xml:space="preserve"> </w:t>
      </w:r>
      <w:proofErr w:type="spellStart"/>
      <w:r w:rsidR="004B6148">
        <w:t>PdC</w:t>
      </w:r>
      <w:proofErr w:type="spellEnd"/>
      <w:r>
        <w:t xml:space="preserve"> sont axés sur les différents </w:t>
      </w:r>
      <w:r w:rsidR="004B6148">
        <w:t xml:space="preserve">moments </w:t>
      </w:r>
      <w:r>
        <w:t xml:space="preserve">du continuum de la gestion des risques de catastrophes. Le </w:t>
      </w:r>
      <w:r w:rsidR="00072147">
        <w:t>PAP</w:t>
      </w:r>
      <w:r w:rsidR="00E87D10">
        <w:t xml:space="preserve"> </w:t>
      </w:r>
      <w:r>
        <w:t xml:space="preserve">se concentre sur la période de temps entre une prévision et le choc, tandis que la </w:t>
      </w:r>
      <w:r w:rsidR="00E87D10">
        <w:t>Plan de Contingence</w:t>
      </w:r>
      <w:r>
        <w:t xml:space="preserve"> se concentre sur </w:t>
      </w:r>
      <w:r w:rsidR="00CD16C1">
        <w:t xml:space="preserve">celle </w:t>
      </w:r>
      <w:r w:rsidR="00E87D10">
        <w:t>de</w:t>
      </w:r>
      <w:r>
        <w:t xml:space="preserve"> </w:t>
      </w:r>
      <w:r w:rsidR="00CD16C1">
        <w:t xml:space="preserve">la </w:t>
      </w:r>
      <w:r>
        <w:t xml:space="preserve">réponse. </w:t>
      </w:r>
      <w:r w:rsidR="00CD16C1">
        <w:t>De plus</w:t>
      </w:r>
      <w:r>
        <w:t xml:space="preserve">, le </w:t>
      </w:r>
      <w:r w:rsidR="00072147">
        <w:t>PAP</w:t>
      </w:r>
      <w:r w:rsidR="00CD16C1">
        <w:t xml:space="preserve"> n’</w:t>
      </w:r>
      <w:r>
        <w:t>int</w:t>
      </w:r>
      <w:r w:rsidR="00CD16C1">
        <w:t>è</w:t>
      </w:r>
      <w:r>
        <w:t xml:space="preserve">gre que les </w:t>
      </w:r>
      <w:r w:rsidR="00CD16C1">
        <w:t xml:space="preserve">aléas </w:t>
      </w:r>
      <w:r>
        <w:t xml:space="preserve">météorologiques, tandis que le </w:t>
      </w:r>
      <w:r w:rsidR="00851734">
        <w:t>Plan de Contingence</w:t>
      </w:r>
      <w:r>
        <w:t xml:space="preserve"> se veut plus vaste et </w:t>
      </w:r>
      <w:r w:rsidR="00CD16C1">
        <w:t xml:space="preserve">peut également </w:t>
      </w:r>
      <w:r>
        <w:t xml:space="preserve">inclure d’autres </w:t>
      </w:r>
      <w:r w:rsidR="00CD16C1">
        <w:t>aléas</w:t>
      </w:r>
      <w:r>
        <w:t xml:space="preserve">, </w:t>
      </w:r>
      <w:r w:rsidR="00CD16C1">
        <w:t xml:space="preserve">tels que </w:t>
      </w:r>
      <w:r>
        <w:t xml:space="preserve">les </w:t>
      </w:r>
      <w:r w:rsidR="00CD16C1">
        <w:t xml:space="preserve">aléas </w:t>
      </w:r>
      <w:r>
        <w:t>technologiques et épidémi</w:t>
      </w:r>
      <w:r w:rsidR="00CD16C1">
        <w:t>qu</w:t>
      </w:r>
      <w:r>
        <w:t xml:space="preserve">es. Toutefois, certaines actions se chevauchent, par exemple les évacuations, la diffusion de messages d’alerte précoce et les actions qui sont menées avant une catastrophe imminente pour s’assurer que le personnel est prêt à réagir immédiatement après le choc. Ces actions pourraient être englobées à la fois dans le </w:t>
      </w:r>
      <w:r w:rsidR="00072147">
        <w:t>PAP</w:t>
      </w:r>
      <w:r w:rsidR="00CD16C1">
        <w:t xml:space="preserve"> </w:t>
      </w:r>
      <w:r>
        <w:t xml:space="preserve">et le </w:t>
      </w:r>
      <w:proofErr w:type="spellStart"/>
      <w:r w:rsidR="00CD16C1">
        <w:t>PdC</w:t>
      </w:r>
      <w:proofErr w:type="spellEnd"/>
      <w:r>
        <w:t>, d’où la nécessité d’une coordination particulièrement étroite dans la conception et la mise en œuvre des deux plans.</w:t>
      </w:r>
    </w:p>
    <w:p w14:paraId="7DE1A1BF" w14:textId="56163C43" w:rsidR="00095B71" w:rsidRDefault="00E07B22" w:rsidP="00E07B22">
      <w:pPr>
        <w:spacing w:after="0"/>
        <w:ind w:right="-2"/>
      </w:pPr>
      <w:r>
        <w:t xml:space="preserve">D’autres documents de planification de la </w:t>
      </w:r>
      <w:r w:rsidR="00711A83">
        <w:t>Société nationale</w:t>
      </w:r>
      <w:r>
        <w:t xml:space="preserve"> (plans opérationnels, stratégiques, programmes) p</w:t>
      </w:r>
      <w:r w:rsidR="00CD16C1">
        <w:t>euv</w:t>
      </w:r>
      <w:r>
        <w:t xml:space="preserve">ent contribuer à l’élaboration d’un </w:t>
      </w:r>
      <w:r w:rsidR="00851734">
        <w:t>Plan de Contingence</w:t>
      </w:r>
      <w:r>
        <w:t xml:space="preserve">, car les </w:t>
      </w:r>
      <w:proofErr w:type="spellStart"/>
      <w:r w:rsidR="00CD16C1">
        <w:t>Pd</w:t>
      </w:r>
      <w:r w:rsidR="00930F51">
        <w:t>C</w:t>
      </w:r>
      <w:proofErr w:type="spellEnd"/>
      <w:r>
        <w:t xml:space="preserve"> sont généralement élaborés dans </w:t>
      </w:r>
      <w:r w:rsidR="00930F51">
        <w:t>un laps de temps réduit,</w:t>
      </w:r>
      <w:r>
        <w:t xml:space="preserve"> pour se préparer à une menace imminente. Si la </w:t>
      </w:r>
      <w:r w:rsidR="00711A83">
        <w:t>Société nationale</w:t>
      </w:r>
      <w:r>
        <w:t xml:space="preserve"> a entrepris un </w:t>
      </w:r>
      <w:hyperlink r:id="rId27" w:history="1">
        <w:r w:rsidR="002553CE">
          <w:rPr>
            <w:rStyle w:val="Hyperlink"/>
            <w:color w:val="0000FF"/>
          </w:rPr>
          <w:t>P</w:t>
        </w:r>
        <w:r>
          <w:rPr>
            <w:rStyle w:val="Hyperlink"/>
            <w:color w:val="0000FF"/>
          </w:rPr>
          <w:t>rocessus de planification de continuité des activités</w:t>
        </w:r>
      </w:hyperlink>
      <w:r w:rsidR="00930F51" w:rsidRPr="00930F51">
        <w:t xml:space="preserve"> (BCP)</w:t>
      </w:r>
      <w:r>
        <w:t xml:space="preserve">, afin </w:t>
      </w:r>
      <w:r w:rsidR="00930F51">
        <w:t>d’être opérationnelle</w:t>
      </w:r>
      <w:r>
        <w:t xml:space="preserve"> en cas de catastrophe, certaines mesures du processus sont similaires ou </w:t>
      </w:r>
      <w:r w:rsidR="00930F51">
        <w:t xml:space="preserve">peuvent </w:t>
      </w:r>
      <w:r>
        <w:t xml:space="preserve">se compléter, par exemple la phase d’analyse et plus spécifiquement la </w:t>
      </w:r>
      <w:r>
        <w:lastRenderedPageBreak/>
        <w:t xml:space="preserve">définition du risque. Vous trouverez de plus amples informations </w:t>
      </w:r>
      <w:r w:rsidR="00930F51">
        <w:t xml:space="preserve">sur les liens entre les actions </w:t>
      </w:r>
      <w:r>
        <w:t xml:space="preserve">dans la </w:t>
      </w:r>
      <w:hyperlink r:id="rId28" w:history="1">
        <w:r w:rsidR="00930F51" w:rsidRPr="00930F51">
          <w:rPr>
            <w:rStyle w:val="Hyperlink"/>
            <w:color w:val="0000FF"/>
          </w:rPr>
          <w:t>N</w:t>
        </w:r>
        <w:r w:rsidRPr="00930F51">
          <w:rPr>
            <w:rStyle w:val="Hyperlink"/>
            <w:color w:val="0000FF"/>
          </w:rPr>
          <w:t xml:space="preserve">ote explicative, Plan de continuité des opérations, </w:t>
        </w:r>
        <w:r w:rsidR="00851734" w:rsidRPr="00930F51">
          <w:rPr>
            <w:rStyle w:val="Hyperlink"/>
            <w:color w:val="0000FF"/>
          </w:rPr>
          <w:t>Plan de Contingence</w:t>
        </w:r>
        <w:r w:rsidRPr="00930F51">
          <w:rPr>
            <w:rStyle w:val="Hyperlink"/>
            <w:color w:val="0000FF"/>
          </w:rPr>
          <w:t xml:space="preserve"> et </w:t>
        </w:r>
        <w:r w:rsidR="00930F51" w:rsidRPr="00930F51">
          <w:rPr>
            <w:rStyle w:val="Hyperlink"/>
            <w:color w:val="0000FF"/>
          </w:rPr>
          <w:t>P</w:t>
        </w:r>
        <w:r w:rsidRPr="00930F51">
          <w:rPr>
            <w:rStyle w:val="Hyperlink"/>
            <w:color w:val="0000FF"/>
          </w:rPr>
          <w:t xml:space="preserve">lan </w:t>
        </w:r>
        <w:r w:rsidR="00930F51" w:rsidRPr="00930F51">
          <w:rPr>
            <w:rStyle w:val="Hyperlink"/>
            <w:color w:val="0000FF"/>
          </w:rPr>
          <w:t>d’Action d’urgence</w:t>
        </w:r>
      </w:hyperlink>
      <w:r>
        <w:t>.</w:t>
      </w:r>
    </w:p>
    <w:p w14:paraId="65B56173" w14:textId="77777777" w:rsidR="004E188C" w:rsidRDefault="004E188C" w:rsidP="00E07B22">
      <w:pPr>
        <w:spacing w:after="0"/>
        <w:ind w:right="-2"/>
      </w:pPr>
    </w:p>
    <w:p w14:paraId="128922CB" w14:textId="77777777" w:rsidR="004E188C" w:rsidRPr="004C3702" w:rsidRDefault="004E188C" w:rsidP="00E07B22">
      <w:pPr>
        <w:spacing w:after="0"/>
        <w:ind w:right="-2"/>
      </w:pPr>
    </w:p>
    <w:p w14:paraId="16983F66" w14:textId="3D6F2577" w:rsidR="00C12231" w:rsidRPr="00CC2FCC" w:rsidRDefault="00C12231" w:rsidP="00CC2FCC">
      <w:pPr>
        <w:pStyle w:val="Heading1"/>
      </w:pPr>
      <w:bookmarkStart w:id="6" w:name="_Toc59440486"/>
      <w:r>
        <w:t>Éléments clés du processus de planification d’urgence</w:t>
      </w:r>
      <w:bookmarkEnd w:id="6"/>
    </w:p>
    <w:p w14:paraId="69C4E1ED" w14:textId="62D7E228" w:rsidR="00C12231" w:rsidRDefault="005043CC" w:rsidP="00C12231">
      <w:r>
        <w:t xml:space="preserve">L’illustration ci-dessous résume les cinq phases identifiées du processus de planification d’urgence pour la préparation institutionnelle des </w:t>
      </w:r>
      <w:r w:rsidR="00711A83">
        <w:t>Sociétés nationales</w:t>
      </w:r>
      <w:r>
        <w:t xml:space="preserve">. Chaque étape des différentes phases a été revue afin d’être simplifiée et clarifiée davantage. Elle a été compilée à partir </w:t>
      </w:r>
      <w:r w:rsidR="002553CE">
        <w:t>du Guide pour la Planification d’urgence</w:t>
      </w:r>
      <w:r>
        <w:t xml:space="preserve"> FICR</w:t>
      </w:r>
      <w:r w:rsidR="002553CE">
        <w:t xml:space="preserve"> (2012)</w:t>
      </w:r>
      <w:r>
        <w:t xml:space="preserve">, des </w:t>
      </w:r>
      <w:r w:rsidR="002553CE">
        <w:t>guides adaptés</w:t>
      </w:r>
      <w:r>
        <w:t xml:space="preserve"> </w:t>
      </w:r>
      <w:r w:rsidR="002553CE">
        <w:t>régionalement</w:t>
      </w:r>
      <w:r>
        <w:t xml:space="preserve"> (Amériques, Caraïbes et Philippines), du </w:t>
      </w:r>
      <w:r w:rsidR="003E355D">
        <w:t>kit</w:t>
      </w:r>
      <w:r w:rsidR="002553CE">
        <w:t xml:space="preserve"> </w:t>
      </w:r>
      <w:r>
        <w:t xml:space="preserve">de formation </w:t>
      </w:r>
      <w:proofErr w:type="spellStart"/>
      <w:r w:rsidR="002553CE">
        <w:t>PdC</w:t>
      </w:r>
      <w:proofErr w:type="spellEnd"/>
      <w:r w:rsidR="002553CE">
        <w:t xml:space="preserve"> </w:t>
      </w:r>
      <w:r>
        <w:t xml:space="preserve">et des pratiques les plus courantes des </w:t>
      </w:r>
      <w:r w:rsidR="00711A83">
        <w:t>Sociétés nationales</w:t>
      </w:r>
      <w:r>
        <w:t>.</w:t>
      </w:r>
      <w:r w:rsidR="00274ADC">
        <w:rPr>
          <w:rStyle w:val="FootnoteReference"/>
        </w:rPr>
        <w:footnoteReference w:id="8"/>
      </w:r>
      <w:r>
        <w:t>.</w:t>
      </w:r>
    </w:p>
    <w:p w14:paraId="02A9D359" w14:textId="77777777" w:rsidR="00C32BA6" w:rsidRDefault="00C32BA6" w:rsidP="00C12231"/>
    <w:p w14:paraId="5FC41D85" w14:textId="4E74F14E" w:rsidR="00754165" w:rsidRDefault="002553CE" w:rsidP="00D40EF0">
      <w:pPr>
        <w:jc w:val="center"/>
      </w:pPr>
      <w:r>
        <w:rPr>
          <w:noProof/>
        </w:rPr>
        <w:drawing>
          <wp:inline distT="0" distB="0" distL="0" distR="0" wp14:anchorId="0C90EF9C" wp14:editId="7D70419A">
            <wp:extent cx="6475364" cy="4791076"/>
            <wp:effectExtent l="0" t="0" r="190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29">
                      <a:extLst>
                        <a:ext uri="{28A0092B-C50C-407E-A947-70E740481C1C}">
                          <a14:useLocalDpi xmlns:a14="http://schemas.microsoft.com/office/drawing/2010/main" val="0"/>
                        </a:ext>
                      </a:extLst>
                    </a:blip>
                    <a:stretch>
                      <a:fillRect/>
                    </a:stretch>
                  </pic:blipFill>
                  <pic:spPr>
                    <a:xfrm>
                      <a:off x="0" y="0"/>
                      <a:ext cx="6475364" cy="4791076"/>
                    </a:xfrm>
                    <a:prstGeom prst="rect">
                      <a:avLst/>
                    </a:prstGeom>
                  </pic:spPr>
                </pic:pic>
              </a:graphicData>
            </a:graphic>
          </wp:inline>
        </w:drawing>
      </w:r>
    </w:p>
    <w:p w14:paraId="32D2FC8B" w14:textId="77777777" w:rsidR="00E70B3D" w:rsidRDefault="00E70B3D" w:rsidP="00D75F84">
      <w:pPr>
        <w:spacing w:line="264" w:lineRule="auto"/>
      </w:pPr>
    </w:p>
    <w:p w14:paraId="3C103DA2" w14:textId="78079657" w:rsidR="00C3455D" w:rsidRPr="00F23339" w:rsidRDefault="008423D4" w:rsidP="00D75F84">
      <w:pPr>
        <w:spacing w:line="264" w:lineRule="auto"/>
      </w:pPr>
      <w:r>
        <w:t xml:space="preserve">Si les phases doivent être réalisées l’une après l’autre (car elles s’alimentent mutuellement), elles peuvent se chevaucher légèrement ou s’avérer complémentaires. Une fois le plan finalisé, les étapes 1 à 3 de la phase </w:t>
      </w:r>
      <w:r w:rsidR="002553CE">
        <w:t xml:space="preserve">de révision </w:t>
      </w:r>
      <w:r>
        <w:t xml:space="preserve">peuvent se dérouler dans un ordre différent selon la situation de la </w:t>
      </w:r>
      <w:r w:rsidR="00711A83">
        <w:t>Société nationale</w:t>
      </w:r>
      <w:r>
        <w:t>.</w:t>
      </w:r>
    </w:p>
    <w:p w14:paraId="44B83925" w14:textId="77777777" w:rsidR="00E70B3D" w:rsidRDefault="00E70B3D" w:rsidP="006846CC">
      <w:pPr>
        <w:sectPr w:rsidR="00E70B3D" w:rsidSect="00A848B2">
          <w:headerReference w:type="even" r:id="rId30"/>
          <w:footerReference w:type="default" r:id="rId31"/>
          <w:headerReference w:type="first" r:id="rId32"/>
          <w:pgSz w:w="11906" w:h="16838" w:code="9"/>
          <w:pgMar w:top="907" w:right="907" w:bottom="907" w:left="907" w:header="924" w:footer="714" w:gutter="0"/>
          <w:cols w:space="720"/>
          <w:titlePg/>
          <w:docGrid w:linePitch="272"/>
        </w:sectPr>
      </w:pPr>
    </w:p>
    <w:p w14:paraId="6B6096E8" w14:textId="5467B686" w:rsidR="00C407AC" w:rsidRDefault="00746040" w:rsidP="00CC2FCC">
      <w:pPr>
        <w:pStyle w:val="Heading1"/>
      </w:pPr>
      <w:bookmarkStart w:id="7" w:name="_Toc59440487"/>
      <w:r>
        <w:lastRenderedPageBreak/>
        <w:t>Préparer</w:t>
      </w:r>
      <w:bookmarkEnd w:id="7"/>
    </w:p>
    <w:p w14:paraId="70658B34" w14:textId="7941B57F" w:rsidR="009F19B8" w:rsidRPr="00522C9B" w:rsidRDefault="00A046ED" w:rsidP="009F19B8">
      <w:r>
        <w:t xml:space="preserve">Dans cette phase, la </w:t>
      </w:r>
      <w:r w:rsidR="00711A83">
        <w:t>Société nationale</w:t>
      </w:r>
      <w:r>
        <w:t xml:space="preserve"> </w:t>
      </w:r>
      <w:r w:rsidR="002A0B3C">
        <w:t>identifie l</w:t>
      </w:r>
      <w:r>
        <w:t xml:space="preserve">es actions </w:t>
      </w:r>
      <w:r w:rsidR="002A0B3C">
        <w:t>pour</w:t>
      </w:r>
      <w:r>
        <w:t xml:space="preserve"> lancer le processus de planification d’urgence. Cela dépendra de la situation de la </w:t>
      </w:r>
      <w:r w:rsidR="00711A83">
        <w:t>Société nationale</w:t>
      </w:r>
      <w:r>
        <w:t xml:space="preserve"> et de la direction qu’elle souhaite prendre dans son processus de préparation institutionnelle. L’option d’un </w:t>
      </w:r>
      <w:r w:rsidR="00851734">
        <w:t>Plan de Contingence</w:t>
      </w:r>
      <w:r>
        <w:t xml:space="preserve"> du Mouvement </w:t>
      </w:r>
      <w:r w:rsidR="002A0B3C">
        <w:t xml:space="preserve">peut </w:t>
      </w:r>
      <w:r>
        <w:t xml:space="preserve">également </w:t>
      </w:r>
      <w:r w:rsidR="002A0B3C">
        <w:t xml:space="preserve">être </w:t>
      </w:r>
      <w:r>
        <w:t xml:space="preserve">envisagée et adoptée le cas échéant (aucun modèle spécifique n’est requis, mais les principes directeurs de la </w:t>
      </w:r>
      <w:hyperlink r:id="rId33" w:history="1">
        <w:r w:rsidRPr="002A0B3C">
          <w:rPr>
            <w:rStyle w:val="Hyperlink"/>
            <w:color w:val="0000FF"/>
          </w:rPr>
          <w:t>boîte à outils du RCCM</w:t>
        </w:r>
      </w:hyperlink>
      <w:r>
        <w:t xml:space="preserve"> peuvent être </w:t>
      </w:r>
      <w:r w:rsidR="002A0B3C">
        <w:t>utilisés</w:t>
      </w:r>
      <w:r>
        <w:t>).</w:t>
      </w:r>
    </w:p>
    <w:p w14:paraId="59FE83CC" w14:textId="076EE99B" w:rsidR="001B6673" w:rsidRDefault="001B6673" w:rsidP="001B6673">
      <w:r>
        <w:t>La qualité du travail effectué dans le cadre de cette phase garantira le succès du processus de planification d’urgence et servira en partie à remplir la section d’introduction du plan (</w:t>
      </w:r>
      <w:r w:rsidRPr="00E02668">
        <w:t>p.3 du modèle prêt à remplir</w:t>
      </w:r>
      <w:r>
        <w:t>).</w:t>
      </w:r>
    </w:p>
    <w:p w14:paraId="483949A6" w14:textId="5C40E170" w:rsidR="004D1243" w:rsidRDefault="00A74A68" w:rsidP="009F19B8">
      <w:r>
        <w:t xml:space="preserve">Un modèle et des conseils pour les </w:t>
      </w:r>
      <w:r w:rsidR="002A0B3C">
        <w:t>T</w:t>
      </w:r>
      <w:r>
        <w:t xml:space="preserve">ermes de </w:t>
      </w:r>
      <w:r w:rsidR="002A0B3C">
        <w:t xml:space="preserve">Référence </w:t>
      </w:r>
      <w:r>
        <w:t>(</w:t>
      </w:r>
      <w:proofErr w:type="spellStart"/>
      <w:r w:rsidR="002A0B3C">
        <w:t>TdR</w:t>
      </w:r>
      <w:proofErr w:type="spellEnd"/>
      <w:r>
        <w:t xml:space="preserve">) </w:t>
      </w:r>
      <w:r w:rsidR="002A0B3C">
        <w:t xml:space="preserve">avec </w:t>
      </w:r>
      <w:r>
        <w:t xml:space="preserve">les rôles et responsabilités des parties prenantes impliquées dans le processus de planification, un tableau de suivi des données et un calendrier de travail sont disponibles en </w:t>
      </w:r>
      <w:r w:rsidR="002A0B3C" w:rsidRPr="00502EF4">
        <w:rPr>
          <w:b/>
        </w:rPr>
        <w:t xml:space="preserve">Annexe </w:t>
      </w:r>
      <w:r w:rsidRPr="00502EF4">
        <w:rPr>
          <w:b/>
        </w:rPr>
        <w:t>1</w:t>
      </w:r>
      <w:r>
        <w:t xml:space="preserve">. Il s’agit de résultats préparatoires qui n’ont pas besoin de figurer dans le document final du </w:t>
      </w:r>
      <w:r w:rsidR="00851734">
        <w:t>Plan de Contingence</w:t>
      </w:r>
      <w:r>
        <w:t xml:space="preserve"> de la </w:t>
      </w:r>
      <w:r w:rsidR="00711A83">
        <w:t>Société nationale</w:t>
      </w:r>
      <w:r>
        <w:t xml:space="preserve"> (dans le cadre du </w:t>
      </w:r>
      <w:r w:rsidR="003B0DCE">
        <w:rPr>
          <w:i/>
        </w:rPr>
        <w:t>Modèle de Plan de Contingence</w:t>
      </w:r>
      <w:r>
        <w:rPr>
          <w:i/>
        </w:rPr>
        <w:t>)</w:t>
      </w:r>
      <w:r>
        <w:t xml:space="preserve">. Dans cette phase, il est également important de garder à l’esprit la position de la </w:t>
      </w:r>
      <w:r w:rsidR="00711A83">
        <w:t>Société nationale</w:t>
      </w:r>
      <w:r>
        <w:t xml:space="preserve"> dans le pays et l’importance de lier toute</w:t>
      </w:r>
      <w:r w:rsidR="003B0DCE">
        <w:t>s</w:t>
      </w:r>
      <w:r>
        <w:t xml:space="preserve"> action</w:t>
      </w:r>
      <w:r w:rsidR="003B0DCE">
        <w:t>s</w:t>
      </w:r>
      <w:r>
        <w:t xml:space="preserve"> avec les entités gouvernementales et les </w:t>
      </w:r>
      <w:r w:rsidR="003B0DCE">
        <w:t xml:space="preserve">acteurs </w:t>
      </w:r>
      <w:r>
        <w:t xml:space="preserve">clés dans les pays d’intervention. Pour les </w:t>
      </w:r>
      <w:r w:rsidR="00711A83">
        <w:t>Sociétés nationales</w:t>
      </w:r>
      <w:r>
        <w:t xml:space="preserve"> qui élaborent des </w:t>
      </w:r>
      <w:r w:rsidR="003B0DCE">
        <w:t>EPA</w:t>
      </w:r>
      <w:r>
        <w:t xml:space="preserve">, des BCP, dans le cadre du processus </w:t>
      </w:r>
      <w:r w:rsidR="003B0DCE">
        <w:t xml:space="preserve">PIE </w:t>
      </w:r>
      <w:r>
        <w:t xml:space="preserve">ou avec des </w:t>
      </w:r>
      <w:proofErr w:type="spellStart"/>
      <w:r>
        <w:t>EPoA</w:t>
      </w:r>
      <w:proofErr w:type="spellEnd"/>
      <w:r>
        <w:t xml:space="preserve"> pro forma</w:t>
      </w:r>
      <w:r w:rsidR="00D373D5">
        <w:rPr>
          <w:rStyle w:val="FootnoteReference"/>
        </w:rPr>
        <w:footnoteReference w:id="9"/>
      </w:r>
      <w:r>
        <w:t xml:space="preserve">, ou </w:t>
      </w:r>
      <w:r w:rsidR="00B8122C">
        <w:t xml:space="preserve">bien </w:t>
      </w:r>
      <w:r>
        <w:t xml:space="preserve">dans des situations de catastrophe spécifique avec des </w:t>
      </w:r>
      <w:proofErr w:type="spellStart"/>
      <w:r w:rsidR="003B0DCE">
        <w:t>EPoA</w:t>
      </w:r>
      <w:proofErr w:type="spellEnd"/>
      <w:r w:rsidR="003B0DCE">
        <w:t xml:space="preserve"> </w:t>
      </w:r>
      <w:r>
        <w:t xml:space="preserve">en cours d’élaboration, la coordination à ce stade s’avère essentielle pour éviter la duplication des efforts et optimiser le temps, les ressources pour l’élaboration de tous les processus (planification d’urgence, BCP, processus </w:t>
      </w:r>
      <w:r w:rsidR="003B0DCE">
        <w:t>PIE</w:t>
      </w:r>
      <w:r>
        <w:t xml:space="preserve">, </w:t>
      </w:r>
      <w:proofErr w:type="spellStart"/>
      <w:r>
        <w:t>EPoA</w:t>
      </w:r>
      <w:proofErr w:type="spellEnd"/>
      <w:r>
        <w:t xml:space="preserve"> et </w:t>
      </w:r>
      <w:r w:rsidR="00072147">
        <w:t>PAP</w:t>
      </w:r>
      <w:r>
        <w:t>).</w:t>
      </w:r>
    </w:p>
    <w:p w14:paraId="28CDAA67" w14:textId="2F6EA464" w:rsidR="001B6673" w:rsidRDefault="00B5262C" w:rsidP="009F19B8">
      <w:r>
        <w:rPr>
          <w:noProof/>
        </w:rPr>
        <w:drawing>
          <wp:inline distT="0" distB="0" distL="0" distR="0" wp14:anchorId="42A557A9" wp14:editId="0CAE3FBD">
            <wp:extent cx="6408422" cy="5090158"/>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34">
                      <a:extLst>
                        <a:ext uri="{28A0092B-C50C-407E-A947-70E740481C1C}">
                          <a14:useLocalDpi xmlns:a14="http://schemas.microsoft.com/office/drawing/2010/main" val="0"/>
                        </a:ext>
                      </a:extLst>
                    </a:blip>
                    <a:stretch>
                      <a:fillRect/>
                    </a:stretch>
                  </pic:blipFill>
                  <pic:spPr>
                    <a:xfrm>
                      <a:off x="0" y="0"/>
                      <a:ext cx="6408422" cy="5090158"/>
                    </a:xfrm>
                    <a:prstGeom prst="rect">
                      <a:avLst/>
                    </a:prstGeom>
                  </pic:spPr>
                </pic:pic>
              </a:graphicData>
            </a:graphic>
          </wp:inline>
        </w:drawing>
      </w:r>
    </w:p>
    <w:p w14:paraId="029A47ED" w14:textId="140EA2C7" w:rsidR="009F19B8" w:rsidRPr="009F19B8" w:rsidRDefault="009F19B8" w:rsidP="009F19B8">
      <w:pPr>
        <w:sectPr w:rsidR="009F19B8" w:rsidRPr="009F19B8" w:rsidSect="00AE655A">
          <w:pgSz w:w="11906" w:h="16838" w:code="9"/>
          <w:pgMar w:top="907" w:right="907" w:bottom="907" w:left="907" w:header="924" w:footer="714" w:gutter="0"/>
          <w:cols w:space="720"/>
        </w:sectPr>
      </w:pPr>
    </w:p>
    <w:p w14:paraId="599082D4" w14:textId="65F64F6A" w:rsidR="00810C0B" w:rsidRDefault="00B053A3" w:rsidP="00CC2FCC">
      <w:pPr>
        <w:pStyle w:val="Heading1"/>
      </w:pPr>
      <w:bookmarkStart w:id="8" w:name="_Toc59440488"/>
      <w:r>
        <w:lastRenderedPageBreak/>
        <w:t>Analyse</w:t>
      </w:r>
      <w:r w:rsidR="00746040">
        <w:t>r</w:t>
      </w:r>
      <w:bookmarkEnd w:id="8"/>
    </w:p>
    <w:p w14:paraId="636D427B" w14:textId="60518DBD" w:rsidR="0072679E" w:rsidRDefault="0072679E" w:rsidP="008239CB">
      <w:r>
        <w:t>La phase d’analyse est primordiale. Elle déterminer</w:t>
      </w:r>
      <w:r w:rsidR="00B8122C">
        <w:t>a</w:t>
      </w:r>
      <w:r>
        <w:t xml:space="preserve"> </w:t>
      </w:r>
      <w:r w:rsidR="00B8122C">
        <w:t>l’utilité</w:t>
      </w:r>
      <w:r>
        <w:t xml:space="preserve"> de votre travail de planification. Cette phase nécessite suffisamment de temps de réflexion. Les différentes étapes et actions devraient permettre à votre </w:t>
      </w:r>
      <w:r w:rsidR="00711A83">
        <w:t>Société nationale</w:t>
      </w:r>
      <w:r>
        <w:t xml:space="preserve"> d’aller de l’avant. Il conviendra de mobiliser les compétences adéquates, de se mettre en relation avec les partenaires nationaux et de rechercher les informations pertinentes existantes avant d’élaborer d’autres données.</w:t>
      </w:r>
    </w:p>
    <w:p w14:paraId="55CF0307" w14:textId="20019550" w:rsidR="006C3741" w:rsidRDefault="006F1A66" w:rsidP="008239CB">
      <w:r>
        <w:t xml:space="preserve">Il est entendu que les </w:t>
      </w:r>
      <w:r w:rsidR="00711A83">
        <w:t>Sociétés nationales</w:t>
      </w:r>
      <w:r>
        <w:t xml:space="preserve"> commenceront l’analyse aux étapes 1 et 2 et adapteront l’approche à celle qui leur convient le mieux. Sur la base de l’expérience des </w:t>
      </w:r>
      <w:r w:rsidR="00711A83">
        <w:t>Sociétés nationales</w:t>
      </w:r>
      <w:r>
        <w:t xml:space="preserve"> et afin d’alléger le document </w:t>
      </w:r>
      <w:r w:rsidR="00B8122C">
        <w:rPr>
          <w:i/>
        </w:rPr>
        <w:t>M</w:t>
      </w:r>
      <w:r w:rsidRPr="00B8122C">
        <w:rPr>
          <w:i/>
        </w:rPr>
        <w:t>odèle d</w:t>
      </w:r>
      <w:r w:rsidR="00B8122C">
        <w:rPr>
          <w:i/>
        </w:rPr>
        <w:t>e</w:t>
      </w:r>
      <w:r>
        <w:t xml:space="preserve"> </w:t>
      </w:r>
      <w:r w:rsidR="00851734">
        <w:rPr>
          <w:i/>
        </w:rPr>
        <w:t>Plan de Contingence</w:t>
      </w:r>
      <w:r>
        <w:rPr>
          <w:b/>
          <w:i/>
        </w:rPr>
        <w:t xml:space="preserve"> </w:t>
      </w:r>
      <w:r>
        <w:t xml:space="preserve">de la </w:t>
      </w:r>
      <w:r w:rsidR="00711A83">
        <w:t>Société nationale</w:t>
      </w:r>
      <w:r>
        <w:t xml:space="preserve">, nous proposons d’entreprendre l’analyse approfondie des vulnérabilités et des capacités à l’étape 3, une fois la combinaison précise des </w:t>
      </w:r>
      <w:r w:rsidR="00B8122C">
        <w:t xml:space="preserve">aléas </w:t>
      </w:r>
      <w:r>
        <w:t xml:space="preserve">(risques prioritaires) identifiée. Si une </w:t>
      </w:r>
      <w:r w:rsidR="00711A83">
        <w:t>Société nationale</w:t>
      </w:r>
      <w:r>
        <w:t xml:space="preserve"> a appliqué un processus </w:t>
      </w:r>
      <w:proofErr w:type="spellStart"/>
      <w:r>
        <w:t>FbF</w:t>
      </w:r>
      <w:proofErr w:type="spellEnd"/>
      <w:r>
        <w:t xml:space="preserve">, BCP et/ou </w:t>
      </w:r>
      <w:r w:rsidR="003B0DCE">
        <w:t>PIE</w:t>
      </w:r>
      <w:r>
        <w:t xml:space="preserve">, des informations sur l’analyse des risques, l’impact historique, les risques prioritaires, l’exposition, l’analyse de la vulnérabilité, les courbes d’impact et les déclencheurs seront déjà disponibles, il est suggéré de revoir ces informations et de les utiliser pour simplifier les étapes 2 et 3. </w:t>
      </w:r>
    </w:p>
    <w:p w14:paraId="631350F1" w14:textId="3D2F61A4" w:rsidR="00B053A3" w:rsidRDefault="0072679E" w:rsidP="008239CB">
      <w:r>
        <w:t xml:space="preserve">D’autres outils sont fournis dans le </w:t>
      </w:r>
      <w:r w:rsidR="00B8122C">
        <w:t xml:space="preserve">document </w:t>
      </w:r>
      <w:r w:rsidR="00B8122C" w:rsidRPr="00B8122C">
        <w:rPr>
          <w:i/>
        </w:rPr>
        <w:t xml:space="preserve">Modèle </w:t>
      </w:r>
      <w:r w:rsidRPr="00B8122C">
        <w:rPr>
          <w:i/>
        </w:rPr>
        <w:t>de</w:t>
      </w:r>
      <w:r>
        <w:t xml:space="preserve"> </w:t>
      </w:r>
      <w:r w:rsidR="00851734">
        <w:rPr>
          <w:i/>
        </w:rPr>
        <w:t>Plan de Contingence</w:t>
      </w:r>
      <w:r>
        <w:rPr>
          <w:i/>
        </w:rPr>
        <w:t>,</w:t>
      </w:r>
      <w:r>
        <w:t xml:space="preserve"> avec des liens qui vous mèneront aux recommandations/guides et modèles pertinents.</w:t>
      </w:r>
    </w:p>
    <w:p w14:paraId="05BBA99C" w14:textId="77777777" w:rsidR="000110B7" w:rsidRDefault="000110B7" w:rsidP="008239CB"/>
    <w:p w14:paraId="672038BC" w14:textId="5DC1B55B" w:rsidR="0072679E" w:rsidRDefault="00B5262C" w:rsidP="008239CB">
      <w:r>
        <w:rPr>
          <w:noProof/>
        </w:rPr>
        <w:drawing>
          <wp:inline distT="0" distB="0" distL="0" distR="0" wp14:anchorId="0C98F0C7" wp14:editId="22251859">
            <wp:extent cx="6408422" cy="5234940"/>
            <wp:effectExtent l="0" t="0" r="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35">
                      <a:extLst>
                        <a:ext uri="{28A0092B-C50C-407E-A947-70E740481C1C}">
                          <a14:useLocalDpi xmlns:a14="http://schemas.microsoft.com/office/drawing/2010/main" val="0"/>
                        </a:ext>
                      </a:extLst>
                    </a:blip>
                    <a:stretch>
                      <a:fillRect/>
                    </a:stretch>
                  </pic:blipFill>
                  <pic:spPr>
                    <a:xfrm>
                      <a:off x="0" y="0"/>
                      <a:ext cx="6408422" cy="5234940"/>
                    </a:xfrm>
                    <a:prstGeom prst="rect">
                      <a:avLst/>
                    </a:prstGeom>
                  </pic:spPr>
                </pic:pic>
              </a:graphicData>
            </a:graphic>
          </wp:inline>
        </w:drawing>
      </w:r>
    </w:p>
    <w:p w14:paraId="5A7D2C88" w14:textId="77777777" w:rsidR="0072679E" w:rsidRDefault="0072679E">
      <w:pPr>
        <w:spacing w:line="264" w:lineRule="auto"/>
      </w:pPr>
      <w:r>
        <w:br w:type="page"/>
      </w:r>
    </w:p>
    <w:p w14:paraId="5DDB0FF1" w14:textId="15362CC4" w:rsidR="0072679E" w:rsidRDefault="0072679E" w:rsidP="00CC2FCC">
      <w:pPr>
        <w:pStyle w:val="Heading1"/>
      </w:pPr>
      <w:bookmarkStart w:id="9" w:name="_Toc59440489"/>
      <w:r>
        <w:lastRenderedPageBreak/>
        <w:t>Développe</w:t>
      </w:r>
      <w:r w:rsidR="00746040">
        <w:t>r</w:t>
      </w:r>
      <w:bookmarkEnd w:id="9"/>
    </w:p>
    <w:p w14:paraId="09C71779" w14:textId="040503FD" w:rsidR="000A04A5" w:rsidRDefault="00742C26" w:rsidP="008239CB">
      <w:r>
        <w:t xml:space="preserve">Dans la phase de développement, la </w:t>
      </w:r>
      <w:r w:rsidR="00711A83">
        <w:t>Société nationale</w:t>
      </w:r>
      <w:r>
        <w:t xml:space="preserve"> définit sa réponse globale aux différents scénarios identifiés. Souvent, les plans d’intervention opérationnels de la </w:t>
      </w:r>
      <w:r w:rsidR="00711A83">
        <w:t>Société nationale</w:t>
      </w:r>
      <w:r w:rsidR="00675562">
        <w:rPr>
          <w:rStyle w:val="FootnoteReference"/>
        </w:rPr>
        <w:footnoteReference w:id="10"/>
      </w:r>
      <w:r>
        <w:t xml:space="preserve"> sont élaborés pour les scénarios les plus probables et les </w:t>
      </w:r>
      <w:r w:rsidR="00430A31">
        <w:t>pires</w:t>
      </w:r>
      <w:r>
        <w:t xml:space="preserve">, qui nécessiteront une augmentation des ressources pour atteindre des objectifs plus </w:t>
      </w:r>
      <w:r w:rsidR="00430A31">
        <w:t xml:space="preserve">importants </w:t>
      </w:r>
      <w:r>
        <w:t xml:space="preserve">(en fonction des besoins humanitaires). </w:t>
      </w:r>
    </w:p>
    <w:p w14:paraId="2276209E" w14:textId="7866181A" w:rsidR="001D0FED" w:rsidRPr="008239CB" w:rsidRDefault="006F1A66" w:rsidP="008239CB">
      <w:r>
        <w:t>Une fois votre stratégie et votre plan opérationnels définis, la détermination de vos modalités de fonctionnement (à l’étape 2) vous contraindra à revoir vos procédures opérationnelles standard (</w:t>
      </w:r>
      <w:r w:rsidR="00430A31">
        <w:t>SOP</w:t>
      </w:r>
      <w:r w:rsidR="00430A31">
        <w:rPr>
          <w:rStyle w:val="FootnoteReference"/>
        </w:rPr>
        <w:footnoteReference w:id="11"/>
      </w:r>
      <w:r>
        <w:t xml:space="preserve">) existantes et la manière dont elles sont utilisées/appliquées. La </w:t>
      </w:r>
      <w:r w:rsidR="00887C91">
        <w:t>définition</w:t>
      </w:r>
      <w:r>
        <w:t xml:space="preserve"> de </w:t>
      </w:r>
      <w:r w:rsidR="00887C91">
        <w:t xml:space="preserve">SOPs </w:t>
      </w:r>
      <w:r>
        <w:t xml:space="preserve">est cruciale pour la mise en œuvre efficace </w:t>
      </w:r>
      <w:r w:rsidR="00887C91">
        <w:t>d’</w:t>
      </w:r>
      <w:r>
        <w:t>action</w:t>
      </w:r>
      <w:r w:rsidR="00887C91">
        <w:t xml:space="preserve"> précoce</w:t>
      </w:r>
      <w:r>
        <w:t xml:space="preserve"> et d’une réponse. Le format et le type de </w:t>
      </w:r>
      <w:r w:rsidR="00887C91">
        <w:t xml:space="preserve">SOPs </w:t>
      </w:r>
      <w:r>
        <w:t>sont énumérés dans les annexes du</w:t>
      </w:r>
      <w:r w:rsidR="00887C91">
        <w:t xml:space="preserve"> document</w:t>
      </w:r>
      <w:r>
        <w:t xml:space="preserve"> </w:t>
      </w:r>
      <w:r w:rsidR="00887C91">
        <w:rPr>
          <w:i/>
        </w:rPr>
        <w:t>M</w:t>
      </w:r>
      <w:r>
        <w:rPr>
          <w:i/>
        </w:rPr>
        <w:t xml:space="preserve">odèle de </w:t>
      </w:r>
      <w:r w:rsidR="00851734">
        <w:rPr>
          <w:i/>
        </w:rPr>
        <w:t>Plan de Contingence</w:t>
      </w:r>
      <w:r>
        <w:t xml:space="preserve"> pour </w:t>
      </w:r>
      <w:r w:rsidR="00887C91">
        <w:t>référence</w:t>
      </w:r>
      <w:r>
        <w:t xml:space="preserve">. Les </w:t>
      </w:r>
      <w:r w:rsidR="00887C91">
        <w:t xml:space="preserve">SOPs </w:t>
      </w:r>
      <w:r>
        <w:t xml:space="preserve">doivent être simples, directes et refléter les connaissances et les capacités de votre équipe. Transmettez les procédures à la </w:t>
      </w:r>
      <w:r w:rsidR="00711A83">
        <w:t>Société nationale</w:t>
      </w:r>
      <w:r>
        <w:t xml:space="preserve">/PNS/aux partenaires du </w:t>
      </w:r>
      <w:r w:rsidR="00EF0E64">
        <w:t>M</w:t>
      </w:r>
      <w:r>
        <w:t xml:space="preserve">ouvement. </w:t>
      </w:r>
      <w:r w:rsidR="00EF0E64">
        <w:t>Aligner</w:t>
      </w:r>
      <w:r>
        <w:t xml:space="preserve"> </w:t>
      </w:r>
      <w:r w:rsidR="00EF0E64">
        <w:t xml:space="preserve">SOPs </w:t>
      </w:r>
      <w:r>
        <w:t xml:space="preserve">définies pour </w:t>
      </w:r>
      <w:r w:rsidR="00EF0E64">
        <w:t xml:space="preserve">les </w:t>
      </w:r>
      <w:r>
        <w:t xml:space="preserve">actions précoces de la </w:t>
      </w:r>
      <w:proofErr w:type="spellStart"/>
      <w:r>
        <w:t>FbF</w:t>
      </w:r>
      <w:proofErr w:type="spellEnd"/>
      <w:r>
        <w:t xml:space="preserve"> avec les </w:t>
      </w:r>
      <w:r w:rsidR="00EF0E64">
        <w:t xml:space="preserve">SOPs </w:t>
      </w:r>
      <w:r>
        <w:t xml:space="preserve">du </w:t>
      </w:r>
      <w:proofErr w:type="spellStart"/>
      <w:r w:rsidR="00EF0E64">
        <w:t>PdC</w:t>
      </w:r>
      <w:proofErr w:type="spellEnd"/>
      <w:r w:rsidR="00EF0E64">
        <w:t xml:space="preserve"> </w:t>
      </w:r>
      <w:r>
        <w:t xml:space="preserve">permet d’améliorer l’efficacité des opérations d’intervention, y compris les actions précoces non couvertes par les </w:t>
      </w:r>
      <w:r w:rsidR="00072147">
        <w:t>PAP</w:t>
      </w:r>
      <w:r>
        <w:t>.</w:t>
      </w:r>
    </w:p>
    <w:p w14:paraId="7C4E4297" w14:textId="1E95C59B" w:rsidR="0072679E" w:rsidRDefault="0045251F">
      <w:pPr>
        <w:spacing w:line="264" w:lineRule="auto"/>
      </w:pPr>
      <w:r>
        <w:t xml:space="preserve">Ici, il est fait référence au plan de réponse de la </w:t>
      </w:r>
      <w:r w:rsidR="00711A83">
        <w:t>Société nationale</w:t>
      </w:r>
      <w:r>
        <w:t xml:space="preserve"> à une crise spécifique. Toutes les informations et actions liées à la continuité des activités </w:t>
      </w:r>
      <w:r w:rsidR="00EF0E64">
        <w:t xml:space="preserve">courantes </w:t>
      </w:r>
      <w:r>
        <w:t xml:space="preserve">de la </w:t>
      </w:r>
      <w:r w:rsidR="00711A83">
        <w:t>Société nationale</w:t>
      </w:r>
      <w:r>
        <w:t xml:space="preserve"> font partie</w:t>
      </w:r>
      <w:r w:rsidR="00EF0E64">
        <w:t>s</w:t>
      </w:r>
      <w:r>
        <w:t xml:space="preserve"> du processus de planification de la continuité des activités et doivent être reflétées dans ce </w:t>
      </w:r>
      <w:hyperlink r:id="rId36" w:history="1">
        <w:r w:rsidRPr="00EF0E64">
          <w:rPr>
            <w:rStyle w:val="Hyperlink"/>
            <w:color w:val="0000FF"/>
          </w:rPr>
          <w:t>plan de continuité des activités</w:t>
        </w:r>
        <w:r w:rsidR="00EF0E64" w:rsidRPr="00EF0E64">
          <w:rPr>
            <w:rStyle w:val="Hyperlink"/>
            <w:color w:val="0000FF"/>
          </w:rPr>
          <w:t xml:space="preserve"> (BCP)</w:t>
        </w:r>
      </w:hyperlink>
      <w:r>
        <w:t xml:space="preserve">. </w:t>
      </w:r>
    </w:p>
    <w:p w14:paraId="5C6EDE83" w14:textId="32A30220" w:rsidR="00084D0A" w:rsidRDefault="00B5262C">
      <w:pPr>
        <w:spacing w:line="264" w:lineRule="auto"/>
      </w:pPr>
      <w:r>
        <w:rPr>
          <w:noProof/>
        </w:rPr>
        <w:drawing>
          <wp:inline distT="0" distB="0" distL="0" distR="0" wp14:anchorId="303F4892" wp14:editId="67B621A4">
            <wp:extent cx="6408422" cy="512952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37">
                      <a:extLst>
                        <a:ext uri="{28A0092B-C50C-407E-A947-70E740481C1C}">
                          <a14:useLocalDpi xmlns:a14="http://schemas.microsoft.com/office/drawing/2010/main" val="0"/>
                        </a:ext>
                      </a:extLst>
                    </a:blip>
                    <a:stretch>
                      <a:fillRect/>
                    </a:stretch>
                  </pic:blipFill>
                  <pic:spPr>
                    <a:xfrm>
                      <a:off x="0" y="0"/>
                      <a:ext cx="6408422" cy="5129528"/>
                    </a:xfrm>
                    <a:prstGeom prst="rect">
                      <a:avLst/>
                    </a:prstGeom>
                  </pic:spPr>
                </pic:pic>
              </a:graphicData>
            </a:graphic>
          </wp:inline>
        </w:drawing>
      </w:r>
    </w:p>
    <w:p w14:paraId="0A950FB4" w14:textId="77777777" w:rsidR="00084D0A" w:rsidRDefault="00084D0A">
      <w:pPr>
        <w:spacing w:line="264" w:lineRule="auto"/>
      </w:pPr>
      <w:r>
        <w:br w:type="page"/>
      </w:r>
    </w:p>
    <w:p w14:paraId="3D5582D8" w14:textId="16B01515" w:rsidR="00084D0A" w:rsidRDefault="003F0AB1" w:rsidP="00CC2FCC">
      <w:pPr>
        <w:pStyle w:val="Heading1"/>
      </w:pPr>
      <w:bookmarkStart w:id="10" w:name="_Toc59440490"/>
      <w:r>
        <w:lastRenderedPageBreak/>
        <w:t>Implémenter</w:t>
      </w:r>
      <w:bookmarkEnd w:id="10"/>
    </w:p>
    <w:p w14:paraId="6DC7DD22" w14:textId="6226005F" w:rsidR="00907DFC" w:rsidRDefault="00180253" w:rsidP="005A30E2">
      <w:r>
        <w:t xml:space="preserve">Dans la phase </w:t>
      </w:r>
      <w:r w:rsidR="00EF0E64">
        <w:t>d’implémentation</w:t>
      </w:r>
      <w:r>
        <w:t xml:space="preserve">, la </w:t>
      </w:r>
      <w:r w:rsidR="00711A83">
        <w:t>Société nationale</w:t>
      </w:r>
      <w:r>
        <w:t xml:space="preserve"> utilise les outils développés pour rendre les plans </w:t>
      </w:r>
      <w:r w:rsidR="00EF0E64">
        <w:t>d’intervention opérationnels</w:t>
      </w:r>
      <w:r>
        <w:t xml:space="preserve"> (sur la base de scénarios spécifiques). </w:t>
      </w:r>
    </w:p>
    <w:p w14:paraId="0DC5868F" w14:textId="1C13126F" w:rsidR="00907DFC" w:rsidRDefault="005A30E2" w:rsidP="00084D0A">
      <w:pPr>
        <w:rPr>
          <w:noProof/>
        </w:rPr>
      </w:pPr>
      <w:r>
        <w:t>Après avoir défini les mesures à prendre pour chaque étape, des conseils détaillés sont donnés pour élaborer le plan d’action de préparation</w:t>
      </w:r>
      <w:r w:rsidR="00EF0E64">
        <w:t xml:space="preserve"> à l’intervention</w:t>
      </w:r>
      <w:r>
        <w:t xml:space="preserve"> de la </w:t>
      </w:r>
      <w:r w:rsidR="00711A83">
        <w:t>Société nationale</w:t>
      </w:r>
      <w:r w:rsidR="00FD7CC1">
        <w:rPr>
          <w:rStyle w:val="FootnoteReference"/>
          <w:noProof/>
          <w:lang w:eastAsia="en-GB"/>
        </w:rPr>
        <w:footnoteReference w:id="12"/>
      </w:r>
      <w:r w:rsidR="00502EF4">
        <w:t>,</w:t>
      </w:r>
      <w:r>
        <w:t xml:space="preserve"> y compris des formations et des tests appropriés, ainsi que pour mobiliser les ressources nécessaires à la mise en œuvre de ce plan de préparation. Ces actions de préparation spécifiques ainsi que les actions de préparation plus génériques basées sur le risque global pourraient contribuer au </w:t>
      </w:r>
      <w:hyperlink r:id="rId38" w:history="1">
        <w:r w:rsidR="00502EF4">
          <w:rPr>
            <w:rStyle w:val="Hyperlink"/>
            <w:color w:val="0000FF"/>
          </w:rPr>
          <w:t>Mécanisme de PIE</w:t>
        </w:r>
      </w:hyperlink>
      <w:r>
        <w:t xml:space="preserve">. Comme elles peuvent être similaires, ces activités de « préparation » peuvent être financées par </w:t>
      </w:r>
      <w:hyperlink r:id="rId39" w:history="1">
        <w:r>
          <w:rPr>
            <w:rStyle w:val="Hyperlink"/>
            <w:color w:val="0000FF"/>
          </w:rPr>
          <w:t xml:space="preserve">l’action </w:t>
        </w:r>
        <w:r w:rsidR="00072147">
          <w:rPr>
            <w:rStyle w:val="Hyperlink"/>
            <w:color w:val="0000FF"/>
          </w:rPr>
          <w:t xml:space="preserve">fondée </w:t>
        </w:r>
        <w:r>
          <w:rPr>
            <w:rStyle w:val="Hyperlink"/>
            <w:color w:val="0000FF"/>
          </w:rPr>
          <w:t>sur les prévisions</w:t>
        </w:r>
        <w:r w:rsidR="00502EF4">
          <w:rPr>
            <w:rStyle w:val="Hyperlink"/>
            <w:color w:val="0000FF"/>
          </w:rPr>
          <w:t xml:space="preserve"> (</w:t>
        </w:r>
        <w:proofErr w:type="spellStart"/>
        <w:r w:rsidR="00502EF4">
          <w:rPr>
            <w:rStyle w:val="Hyperlink"/>
            <w:color w:val="0000FF"/>
          </w:rPr>
          <w:t>FbA</w:t>
        </w:r>
        <w:proofErr w:type="spellEnd"/>
        <w:r w:rsidR="00502EF4">
          <w:rPr>
            <w:rStyle w:val="Hyperlink"/>
            <w:color w:val="0000FF"/>
          </w:rPr>
          <w:t>)</w:t>
        </w:r>
        <w:r>
          <w:rPr>
            <w:rStyle w:val="Hyperlink"/>
            <w:color w:val="0000FF"/>
          </w:rPr>
          <w:t xml:space="preserve"> du DREF</w:t>
        </w:r>
      </w:hyperlink>
      <w:r>
        <w:t xml:space="preserve"> pour la durée de vie du </w:t>
      </w:r>
      <w:r w:rsidR="00072147">
        <w:t>PAP</w:t>
      </w:r>
      <w:r w:rsidR="00EF0E64">
        <w:t xml:space="preserve"> </w:t>
      </w:r>
      <w:r>
        <w:t xml:space="preserve">(5 ans). Cet exemple montre l’importance d’assurer l’alignement des différents processus et phases de planification </w:t>
      </w:r>
      <w:r w:rsidR="00502EF4">
        <w:t xml:space="preserve">ainsi que </w:t>
      </w:r>
      <w:r>
        <w:t xml:space="preserve">des actions de préparation pour optimiser la mobilisation des ressources. </w:t>
      </w:r>
    </w:p>
    <w:p w14:paraId="4852F436" w14:textId="0B843A92" w:rsidR="006F1A66" w:rsidRDefault="006F1A66" w:rsidP="00084D0A">
      <w:pPr>
        <w:rPr>
          <w:noProof/>
        </w:rPr>
      </w:pPr>
      <w:r>
        <w:t xml:space="preserve">Les </w:t>
      </w:r>
      <w:r>
        <w:rPr>
          <w:b/>
        </w:rPr>
        <w:t>outils de l’annexe 2</w:t>
      </w:r>
      <w:r>
        <w:t xml:space="preserve"> vous guideront à travers les différentes étapes de la phase </w:t>
      </w:r>
      <w:r w:rsidR="00072147">
        <w:t>d’implé</w:t>
      </w:r>
      <w:r w:rsidR="00502EF4">
        <w:t>mentation</w:t>
      </w:r>
      <w:r>
        <w:t>.</w:t>
      </w:r>
    </w:p>
    <w:p w14:paraId="14897455" w14:textId="6AC7A22B" w:rsidR="00857879" w:rsidRDefault="00B5262C" w:rsidP="00084D0A">
      <w:r>
        <w:rPr>
          <w:noProof/>
        </w:rPr>
        <w:drawing>
          <wp:inline distT="0" distB="0" distL="0" distR="0" wp14:anchorId="3C755662" wp14:editId="6A874458">
            <wp:extent cx="6408422" cy="4817110"/>
            <wp:effectExtent l="0" t="0" r="0" b="254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40">
                      <a:extLst>
                        <a:ext uri="{28A0092B-C50C-407E-A947-70E740481C1C}">
                          <a14:useLocalDpi xmlns:a14="http://schemas.microsoft.com/office/drawing/2010/main" val="0"/>
                        </a:ext>
                      </a:extLst>
                    </a:blip>
                    <a:stretch>
                      <a:fillRect/>
                    </a:stretch>
                  </pic:blipFill>
                  <pic:spPr>
                    <a:xfrm>
                      <a:off x="0" y="0"/>
                      <a:ext cx="6408422" cy="4817110"/>
                    </a:xfrm>
                    <a:prstGeom prst="rect">
                      <a:avLst/>
                    </a:prstGeom>
                  </pic:spPr>
                </pic:pic>
              </a:graphicData>
            </a:graphic>
          </wp:inline>
        </w:drawing>
      </w:r>
    </w:p>
    <w:p w14:paraId="319E1D5E" w14:textId="2EB89E95" w:rsidR="00857879" w:rsidRDefault="00857879">
      <w:pPr>
        <w:spacing w:line="264" w:lineRule="auto"/>
      </w:pPr>
      <w:r>
        <w:br w:type="page"/>
      </w:r>
    </w:p>
    <w:p w14:paraId="2EFD3EE2" w14:textId="33AE5888" w:rsidR="00857879" w:rsidRDefault="00B5262C" w:rsidP="007607D6">
      <w:pPr>
        <w:pStyle w:val="Heading1"/>
      </w:pPr>
      <w:bookmarkStart w:id="11" w:name="_Toc59440491"/>
      <w:r>
        <w:lastRenderedPageBreak/>
        <w:t>R</w:t>
      </w:r>
      <w:r w:rsidR="003F0AB1">
        <w:t>éviser</w:t>
      </w:r>
      <w:bookmarkEnd w:id="11"/>
    </w:p>
    <w:p w14:paraId="446238FF" w14:textId="5BEB5632" w:rsidR="00857879" w:rsidRDefault="00857879" w:rsidP="00857879">
      <w:pPr>
        <w:rPr>
          <w:noProof/>
        </w:rPr>
      </w:pPr>
      <w:r>
        <w:t xml:space="preserve">Le processus </w:t>
      </w:r>
      <w:r w:rsidR="00851734">
        <w:t>de planification d’urgence</w:t>
      </w:r>
      <w:r>
        <w:t xml:space="preserve"> correspond à un processus continu qui doit être régulièrement mis à jour et adapté. Il s’agit de la phase de révision du processus </w:t>
      </w:r>
      <w:r w:rsidR="00502EF4">
        <w:t>de planification d’urgence</w:t>
      </w:r>
      <w:r>
        <w:t xml:space="preserve">. Le </w:t>
      </w:r>
      <w:r w:rsidR="00851734">
        <w:t>Plan de Contingence</w:t>
      </w:r>
      <w:r>
        <w:t xml:space="preserve"> d’une </w:t>
      </w:r>
      <w:r w:rsidR="00711A83">
        <w:t>Société nationale</w:t>
      </w:r>
      <w:r>
        <w:t xml:space="preserve"> est un document évolutif. Des révisions et des mises à jour régulières sont nécessaires pour garantir que le plan reste pertinent.</w:t>
      </w:r>
    </w:p>
    <w:p w14:paraId="0388A5B6" w14:textId="468ADA62" w:rsidR="00907DFC" w:rsidRDefault="00907DFC" w:rsidP="00907DFC">
      <w:r>
        <w:t>D’autres outils étayant le processus d’évaluation/</w:t>
      </w:r>
      <w:r w:rsidR="00502EF4">
        <w:t xml:space="preserve">révision </w:t>
      </w:r>
      <w:r>
        <w:t xml:space="preserve">et de partage du </w:t>
      </w:r>
      <w:proofErr w:type="spellStart"/>
      <w:r w:rsidR="00502EF4">
        <w:t>PdC</w:t>
      </w:r>
      <w:proofErr w:type="spellEnd"/>
      <w:r w:rsidR="00502EF4">
        <w:t xml:space="preserve"> </w:t>
      </w:r>
      <w:r>
        <w:t xml:space="preserve">sont présentés </w:t>
      </w:r>
      <w:r w:rsidR="00502EF4">
        <w:t>en</w:t>
      </w:r>
      <w:r>
        <w:t xml:space="preserve"> </w:t>
      </w:r>
      <w:r w:rsidR="00502EF4">
        <w:rPr>
          <w:b/>
        </w:rPr>
        <w:t>A</w:t>
      </w:r>
      <w:r>
        <w:rPr>
          <w:b/>
        </w:rPr>
        <w:t>nnexe 3</w:t>
      </w:r>
      <w:r>
        <w:t>, avec des liens qui vous mèneront à des guides et modèles utiles.</w:t>
      </w:r>
    </w:p>
    <w:p w14:paraId="16E29A11" w14:textId="77777777" w:rsidR="00EA3A39" w:rsidRDefault="00EA3A39" w:rsidP="00907DFC"/>
    <w:p w14:paraId="45FE5F79" w14:textId="3B2FCF7F" w:rsidR="00084D0A" w:rsidRPr="008239CB" w:rsidRDefault="003F0AB1" w:rsidP="00084D0A">
      <w:r>
        <w:rPr>
          <w:noProof/>
        </w:rPr>
        <w:drawing>
          <wp:inline distT="0" distB="0" distL="0" distR="0" wp14:anchorId="34382187" wp14:editId="5B382D80">
            <wp:extent cx="6408422" cy="5233034"/>
            <wp:effectExtent l="0" t="0" r="0"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pic:nvPicPr>
                  <pic:blipFill>
                    <a:blip r:embed="rId41">
                      <a:extLst>
                        <a:ext uri="{28A0092B-C50C-407E-A947-70E740481C1C}">
                          <a14:useLocalDpi xmlns:a14="http://schemas.microsoft.com/office/drawing/2010/main" val="0"/>
                        </a:ext>
                      </a:extLst>
                    </a:blip>
                    <a:stretch>
                      <a:fillRect/>
                    </a:stretch>
                  </pic:blipFill>
                  <pic:spPr>
                    <a:xfrm>
                      <a:off x="0" y="0"/>
                      <a:ext cx="6408422" cy="5233034"/>
                    </a:xfrm>
                    <a:prstGeom prst="rect">
                      <a:avLst/>
                    </a:prstGeom>
                  </pic:spPr>
                </pic:pic>
              </a:graphicData>
            </a:graphic>
          </wp:inline>
        </w:drawing>
      </w:r>
    </w:p>
    <w:p w14:paraId="119F0571" w14:textId="65ED3DC8" w:rsidR="00A046ED" w:rsidRDefault="00A046ED">
      <w:pPr>
        <w:spacing w:line="264" w:lineRule="auto"/>
      </w:pPr>
    </w:p>
    <w:p w14:paraId="2CC72D77" w14:textId="797EBAD6" w:rsidR="00EE331F" w:rsidRDefault="00E40F51">
      <w:pPr>
        <w:spacing w:line="264" w:lineRule="auto"/>
      </w:pPr>
      <w:r>
        <w:t xml:space="preserve">L’étape 1 doit être réalisée après avoir testé le plan (simulation ou exercice sur table), après une réponse (en utilisant le résultat de l’évaluation) et sur une base régulière. L’ordre des étapes 1 et 2 dépendra d’une situation de crise ou non. En temps normal (hors crise), l’étape 3 doit être un processus constant (dans le cadre de l’approche </w:t>
      </w:r>
      <w:r w:rsidR="00502EF4">
        <w:t>PIE</w:t>
      </w:r>
      <w:r>
        <w:t>) tandis que l’étape 2 se déroule pendant ou après la crise.</w:t>
      </w:r>
    </w:p>
    <w:p w14:paraId="0EC66146" w14:textId="7D7AAF30" w:rsidR="00973F85" w:rsidRDefault="00973F85">
      <w:pPr>
        <w:spacing w:line="264" w:lineRule="auto"/>
      </w:pPr>
      <w:r>
        <w:br w:type="page"/>
      </w:r>
    </w:p>
    <w:p w14:paraId="47C02ED8" w14:textId="355FCAD0" w:rsidR="001B6673" w:rsidRDefault="00BF166C" w:rsidP="00CC2FCC">
      <w:pPr>
        <w:pStyle w:val="Heading1"/>
      </w:pPr>
      <w:bookmarkStart w:id="12" w:name="_Toc59440492"/>
      <w:bookmarkStart w:id="13" w:name="_Toc48832044"/>
      <w:r>
        <w:lastRenderedPageBreak/>
        <w:t>Annexe 1 - Outils de la phase de préparation</w:t>
      </w:r>
      <w:bookmarkEnd w:id="12"/>
    </w:p>
    <w:p w14:paraId="62EA010F" w14:textId="179D4899" w:rsidR="001B6673" w:rsidRDefault="001B6673" w:rsidP="00BF166C">
      <w:pPr>
        <w:pStyle w:val="Heading2"/>
      </w:pPr>
      <w:bookmarkStart w:id="14" w:name="_Toc59440493"/>
      <w:r>
        <w:t xml:space="preserve">Termes de </w:t>
      </w:r>
      <w:r w:rsidR="00502EF4">
        <w:t>Référence (</w:t>
      </w:r>
      <w:proofErr w:type="spellStart"/>
      <w:r w:rsidR="00502EF4">
        <w:t>TdR</w:t>
      </w:r>
      <w:proofErr w:type="spellEnd"/>
      <w:r w:rsidR="00502EF4">
        <w:t xml:space="preserve">) </w:t>
      </w:r>
      <w:r>
        <w:t xml:space="preserve">pour le processus de planification d’urgence des </w:t>
      </w:r>
      <w:r w:rsidR="00711A83">
        <w:t>Sociétés nationales</w:t>
      </w:r>
      <w:bookmarkEnd w:id="14"/>
    </w:p>
    <w:p w14:paraId="4637892C" w14:textId="0DB0D46A" w:rsidR="001B6673" w:rsidRPr="0025577B" w:rsidRDefault="001B6673" w:rsidP="001B6673">
      <w:pPr>
        <w:rPr>
          <w:color w:val="auto"/>
          <w:sz w:val="24"/>
          <w:szCs w:val="24"/>
        </w:rPr>
      </w:pPr>
      <w:r>
        <w:rPr>
          <w:i/>
          <w:iCs/>
          <w:color w:val="auto"/>
          <w:sz w:val="24"/>
          <w:szCs w:val="24"/>
          <w:u w:val="single"/>
        </w:rPr>
        <w:t>[</w:t>
      </w:r>
      <w:r>
        <w:rPr>
          <w:i/>
          <w:iCs/>
          <w:color w:val="auto"/>
          <w:sz w:val="28"/>
          <w:szCs w:val="28"/>
          <w:u w:val="single"/>
        </w:rPr>
        <w:t xml:space="preserve">Le texte sous chaque section </w:t>
      </w:r>
      <w:r w:rsidR="00262C13">
        <w:rPr>
          <w:i/>
          <w:iCs/>
          <w:color w:val="auto"/>
          <w:sz w:val="28"/>
          <w:szCs w:val="28"/>
          <w:u w:val="single"/>
        </w:rPr>
        <w:t>sert</w:t>
      </w:r>
      <w:r>
        <w:rPr>
          <w:i/>
          <w:iCs/>
          <w:color w:val="auto"/>
          <w:sz w:val="28"/>
          <w:szCs w:val="28"/>
          <w:u w:val="single"/>
        </w:rPr>
        <w:t xml:space="preserve"> à guider la </w:t>
      </w:r>
      <w:r w:rsidR="00711A83">
        <w:rPr>
          <w:i/>
          <w:iCs/>
          <w:color w:val="auto"/>
          <w:sz w:val="28"/>
          <w:szCs w:val="28"/>
          <w:u w:val="single"/>
        </w:rPr>
        <w:t>Société nationale</w:t>
      </w:r>
      <w:r>
        <w:rPr>
          <w:i/>
          <w:iCs/>
          <w:color w:val="auto"/>
          <w:sz w:val="28"/>
          <w:szCs w:val="28"/>
          <w:u w:val="single"/>
        </w:rPr>
        <w:t xml:space="preserve"> et doit être supprimé et/ou remplacé par des informations qui lui sont spécifiques</w:t>
      </w:r>
      <w:r>
        <w:rPr>
          <w:i/>
          <w:iCs/>
          <w:color w:val="auto"/>
          <w:sz w:val="24"/>
          <w:szCs w:val="24"/>
          <w:u w:val="single"/>
        </w:rPr>
        <w:t>]</w:t>
      </w:r>
    </w:p>
    <w:p w14:paraId="5B9625F7" w14:textId="77777777" w:rsidR="001B6673" w:rsidRPr="00F23339" w:rsidRDefault="001B6673" w:rsidP="00BF166C">
      <w:pPr>
        <w:pStyle w:val="Heading3"/>
      </w:pPr>
      <w:bookmarkStart w:id="15" w:name="_Toc59440494"/>
      <w:r>
        <w:t>Contexte et historique</w:t>
      </w:r>
      <w:bookmarkEnd w:id="15"/>
    </w:p>
    <w:p w14:paraId="2A3B4B6D" w14:textId="77777777" w:rsidR="001B6673" w:rsidRPr="004865B4" w:rsidRDefault="001B6673" w:rsidP="001B6673">
      <w:pPr>
        <w:pBdr>
          <w:top w:val="none" w:sz="0" w:space="0" w:color="auto"/>
          <w:left w:val="none" w:sz="0" w:space="0" w:color="auto"/>
          <w:bottom w:val="none" w:sz="0" w:space="0" w:color="auto"/>
          <w:right w:val="none" w:sz="0" w:space="0" w:color="auto"/>
          <w:between w:val="none" w:sz="0" w:space="0" w:color="auto"/>
        </w:pBdr>
        <w:spacing w:after="60"/>
        <w:rPr>
          <w:rFonts w:eastAsiaTheme="minorHAnsi" w:cs="Arial"/>
          <w:bCs/>
          <w:color w:val="auto"/>
          <w:szCs w:val="20"/>
        </w:rPr>
      </w:pPr>
      <w:r>
        <w:rPr>
          <w:bCs/>
          <w:color w:val="auto"/>
          <w:szCs w:val="20"/>
        </w:rPr>
        <w:t>En quoi consiste ce processus de planification d’urgence ?</w:t>
      </w:r>
    </w:p>
    <w:p w14:paraId="3FC94E25" w14:textId="5DD02402" w:rsidR="001B6673" w:rsidRPr="001B6673" w:rsidRDefault="001B6673" w:rsidP="001B6673">
      <w:pPr>
        <w:pBdr>
          <w:top w:val="none" w:sz="0" w:space="0" w:color="auto"/>
          <w:left w:val="none" w:sz="0" w:space="0" w:color="auto"/>
          <w:bottom w:val="none" w:sz="0" w:space="0" w:color="auto"/>
          <w:right w:val="none" w:sz="0" w:space="0" w:color="auto"/>
          <w:between w:val="none" w:sz="0" w:space="0" w:color="auto"/>
        </w:pBdr>
        <w:spacing w:after="60"/>
        <w:rPr>
          <w:rFonts w:eastAsiaTheme="minorHAnsi" w:cs="Arial"/>
          <w:bCs/>
          <w:color w:val="auto"/>
          <w:szCs w:val="20"/>
        </w:rPr>
      </w:pPr>
      <w:r>
        <w:rPr>
          <w:bCs/>
          <w:color w:val="auto"/>
          <w:szCs w:val="20"/>
        </w:rPr>
        <w:t xml:space="preserve">Sur la base des activités principales de votre </w:t>
      </w:r>
      <w:r w:rsidR="00711A83">
        <w:rPr>
          <w:bCs/>
          <w:color w:val="auto"/>
          <w:szCs w:val="20"/>
        </w:rPr>
        <w:t>Société nationale</w:t>
      </w:r>
      <w:r>
        <w:rPr>
          <w:bCs/>
          <w:color w:val="auto"/>
          <w:szCs w:val="20"/>
        </w:rPr>
        <w:t xml:space="preserve"> et de votre travail dans le cadre d’une catastrophe, quel est le mandat de votre </w:t>
      </w:r>
      <w:r w:rsidR="00711A83">
        <w:rPr>
          <w:bCs/>
          <w:color w:val="auto"/>
          <w:szCs w:val="20"/>
        </w:rPr>
        <w:t>Société nationale</w:t>
      </w:r>
      <w:r>
        <w:rPr>
          <w:bCs/>
          <w:color w:val="auto"/>
          <w:szCs w:val="20"/>
        </w:rPr>
        <w:t xml:space="preserve"> face à une crise imminente ou pendant le temps de réponse ?</w:t>
      </w:r>
    </w:p>
    <w:p w14:paraId="28C7A81A" w14:textId="529FE671" w:rsidR="001B6673" w:rsidRPr="001B6673" w:rsidRDefault="001B6673" w:rsidP="001B6673">
      <w:pPr>
        <w:pBdr>
          <w:top w:val="none" w:sz="0" w:space="0" w:color="auto"/>
          <w:left w:val="none" w:sz="0" w:space="0" w:color="auto"/>
          <w:bottom w:val="none" w:sz="0" w:space="0" w:color="auto"/>
          <w:right w:val="none" w:sz="0" w:space="0" w:color="auto"/>
          <w:between w:val="none" w:sz="0" w:space="0" w:color="auto"/>
        </w:pBdr>
        <w:spacing w:after="60"/>
        <w:rPr>
          <w:rFonts w:eastAsiaTheme="minorHAnsi" w:cs="Arial"/>
          <w:bCs/>
          <w:color w:val="auto"/>
          <w:szCs w:val="20"/>
        </w:rPr>
      </w:pPr>
      <w:r>
        <w:rPr>
          <w:bCs/>
          <w:color w:val="auto"/>
          <w:szCs w:val="20"/>
        </w:rPr>
        <w:t xml:space="preserve">Mandat de la </w:t>
      </w:r>
      <w:r w:rsidR="00711A83">
        <w:rPr>
          <w:bCs/>
          <w:color w:val="auto"/>
          <w:szCs w:val="20"/>
        </w:rPr>
        <w:t>Société nationale</w:t>
      </w:r>
      <w:r>
        <w:rPr>
          <w:bCs/>
          <w:color w:val="auto"/>
          <w:szCs w:val="20"/>
        </w:rPr>
        <w:t xml:space="preserve"> =&gt; Il s’agit de dresser la carte du contexte de gestion des risques de catastrophes du pays et du rôle de la </w:t>
      </w:r>
      <w:r w:rsidR="00711A83">
        <w:rPr>
          <w:bCs/>
          <w:color w:val="auto"/>
          <w:szCs w:val="20"/>
        </w:rPr>
        <w:t>Société nationale</w:t>
      </w:r>
      <w:r>
        <w:rPr>
          <w:bCs/>
          <w:color w:val="auto"/>
          <w:szCs w:val="20"/>
        </w:rPr>
        <w:t xml:space="preserve"> en tant qu’intervenant de première ligne, sur la base d’accords avec le gouvernement, le Mouvement de la Croix-Rouge et du Croissant-Rouge et les politiques et plans stratégiques de la </w:t>
      </w:r>
      <w:r w:rsidR="00711A83">
        <w:rPr>
          <w:bCs/>
          <w:color w:val="auto"/>
          <w:szCs w:val="20"/>
        </w:rPr>
        <w:t>Société nationale</w:t>
      </w:r>
      <w:r>
        <w:rPr>
          <w:bCs/>
          <w:color w:val="auto"/>
          <w:szCs w:val="20"/>
        </w:rPr>
        <w:t>.</w:t>
      </w:r>
    </w:p>
    <w:p w14:paraId="0E88ABF0" w14:textId="267E32ED" w:rsidR="001B6673" w:rsidRPr="001B6673" w:rsidRDefault="001B6673" w:rsidP="001B6673">
      <w:pPr>
        <w:pBdr>
          <w:top w:val="none" w:sz="0" w:space="0" w:color="auto"/>
          <w:left w:val="none" w:sz="0" w:space="0" w:color="auto"/>
          <w:bottom w:val="none" w:sz="0" w:space="0" w:color="auto"/>
          <w:right w:val="none" w:sz="0" w:space="0" w:color="auto"/>
          <w:between w:val="none" w:sz="0" w:space="0" w:color="auto"/>
        </w:pBdr>
        <w:spacing w:after="60"/>
        <w:rPr>
          <w:rFonts w:eastAsiaTheme="minorHAnsi" w:cs="Arial"/>
          <w:bCs/>
          <w:color w:val="auto"/>
          <w:szCs w:val="20"/>
        </w:rPr>
      </w:pPr>
      <w:r>
        <w:rPr>
          <w:bCs/>
          <w:color w:val="auto"/>
          <w:szCs w:val="20"/>
        </w:rPr>
        <w:t xml:space="preserve">En fonction du contexte du pays et des capacités de la </w:t>
      </w:r>
      <w:r w:rsidR="00711A83">
        <w:rPr>
          <w:bCs/>
          <w:color w:val="auto"/>
          <w:szCs w:val="20"/>
        </w:rPr>
        <w:t>Société nationale</w:t>
      </w:r>
      <w:r>
        <w:rPr>
          <w:bCs/>
          <w:color w:val="auto"/>
          <w:szCs w:val="20"/>
        </w:rPr>
        <w:t xml:space="preserve">, quel type de </w:t>
      </w:r>
      <w:r w:rsidR="006868D1">
        <w:rPr>
          <w:bCs/>
          <w:color w:val="auto"/>
          <w:szCs w:val="20"/>
        </w:rPr>
        <w:t>plans de contingence</w:t>
      </w:r>
      <w:r>
        <w:rPr>
          <w:bCs/>
          <w:color w:val="auto"/>
          <w:szCs w:val="20"/>
        </w:rPr>
        <w:t xml:space="preserve"> faut-il élaborer ? Si une évaluation </w:t>
      </w:r>
      <w:r w:rsidR="00262C13">
        <w:rPr>
          <w:bCs/>
          <w:color w:val="auto"/>
          <w:szCs w:val="20"/>
        </w:rPr>
        <w:t xml:space="preserve">PIE </w:t>
      </w:r>
      <w:r>
        <w:rPr>
          <w:bCs/>
          <w:color w:val="auto"/>
          <w:szCs w:val="20"/>
        </w:rPr>
        <w:t xml:space="preserve">a été effectuée, les informations recueillies dans le cadre de ce processus peuvent </w:t>
      </w:r>
      <w:r w:rsidR="00262C13">
        <w:rPr>
          <w:bCs/>
          <w:color w:val="auto"/>
          <w:szCs w:val="20"/>
        </w:rPr>
        <w:t>soutenir</w:t>
      </w:r>
      <w:r>
        <w:rPr>
          <w:bCs/>
          <w:color w:val="auto"/>
          <w:szCs w:val="20"/>
        </w:rPr>
        <w:t xml:space="preserve"> </w:t>
      </w:r>
      <w:r w:rsidR="00262C13">
        <w:rPr>
          <w:bCs/>
          <w:color w:val="auto"/>
          <w:szCs w:val="20"/>
        </w:rPr>
        <w:t>l’</w:t>
      </w:r>
      <w:r>
        <w:rPr>
          <w:bCs/>
          <w:color w:val="auto"/>
          <w:szCs w:val="20"/>
        </w:rPr>
        <w:t>élabor</w:t>
      </w:r>
      <w:r w:rsidR="00262C13">
        <w:rPr>
          <w:bCs/>
          <w:color w:val="auto"/>
          <w:szCs w:val="20"/>
        </w:rPr>
        <w:t>ation</w:t>
      </w:r>
      <w:r>
        <w:rPr>
          <w:bCs/>
          <w:color w:val="auto"/>
          <w:szCs w:val="20"/>
        </w:rPr>
        <w:t xml:space="preserve"> des </w:t>
      </w:r>
      <w:r w:rsidR="006868D1">
        <w:rPr>
          <w:bCs/>
          <w:color w:val="auto"/>
          <w:szCs w:val="20"/>
        </w:rPr>
        <w:t>plans de contingence</w:t>
      </w:r>
      <w:r>
        <w:rPr>
          <w:bCs/>
          <w:color w:val="auto"/>
          <w:szCs w:val="20"/>
        </w:rPr>
        <w:t xml:space="preserve">. Existe-t-il déjà des protocoles d’action précoce pour des risques spécifiques - ou sont-ils prévus ou en cours d’élaboration ? Comment le </w:t>
      </w:r>
      <w:r w:rsidR="00072147">
        <w:rPr>
          <w:bCs/>
          <w:color w:val="auto"/>
          <w:szCs w:val="20"/>
        </w:rPr>
        <w:t>PAP</w:t>
      </w:r>
      <w:r w:rsidR="00D11241">
        <w:rPr>
          <w:bCs/>
          <w:color w:val="auto"/>
          <w:szCs w:val="20"/>
        </w:rPr>
        <w:t xml:space="preserve"> </w:t>
      </w:r>
      <w:r>
        <w:rPr>
          <w:bCs/>
          <w:color w:val="auto"/>
          <w:szCs w:val="20"/>
        </w:rPr>
        <w:t xml:space="preserve">s’inscrira-t-il dans le processus de planification d’urgence et les plans opérationnels qui en découlent ? </w:t>
      </w:r>
    </w:p>
    <w:p w14:paraId="2C38DC66" w14:textId="68A26677" w:rsidR="001B6673" w:rsidRPr="001B6673" w:rsidRDefault="001B6673" w:rsidP="001B6673">
      <w:pPr>
        <w:pBdr>
          <w:top w:val="none" w:sz="0" w:space="0" w:color="auto"/>
          <w:left w:val="none" w:sz="0" w:space="0" w:color="auto"/>
          <w:bottom w:val="none" w:sz="0" w:space="0" w:color="auto"/>
          <w:right w:val="none" w:sz="0" w:space="0" w:color="auto"/>
          <w:between w:val="none" w:sz="0" w:space="0" w:color="auto"/>
        </w:pBdr>
        <w:spacing w:after="60"/>
        <w:rPr>
          <w:rFonts w:eastAsiaTheme="minorHAnsi" w:cs="Arial"/>
          <w:bCs/>
          <w:color w:val="auto"/>
          <w:szCs w:val="20"/>
        </w:rPr>
      </w:pPr>
      <w:r>
        <w:rPr>
          <w:bCs/>
          <w:color w:val="auto"/>
          <w:szCs w:val="20"/>
        </w:rPr>
        <w:t xml:space="preserve">Le plan doit-il prendre en compte un seul </w:t>
      </w:r>
      <w:r w:rsidR="00D11241">
        <w:rPr>
          <w:bCs/>
          <w:color w:val="auto"/>
          <w:szCs w:val="20"/>
        </w:rPr>
        <w:t>aléa</w:t>
      </w:r>
      <w:r>
        <w:rPr>
          <w:bCs/>
          <w:color w:val="auto"/>
          <w:szCs w:val="20"/>
        </w:rPr>
        <w:t xml:space="preserve">/risque, plusieurs risques ou même une combinaison de différents </w:t>
      </w:r>
      <w:r w:rsidR="00D11241">
        <w:rPr>
          <w:bCs/>
          <w:color w:val="auto"/>
          <w:szCs w:val="20"/>
        </w:rPr>
        <w:t xml:space="preserve">aléas </w:t>
      </w:r>
      <w:r>
        <w:rPr>
          <w:bCs/>
          <w:color w:val="auto"/>
          <w:szCs w:val="20"/>
        </w:rPr>
        <w:t xml:space="preserve">(par exemple, les inondations, les criquets, les catastrophes technologiques déclenchées par des </w:t>
      </w:r>
      <w:r w:rsidR="00436656">
        <w:rPr>
          <w:bCs/>
          <w:color w:val="auto"/>
          <w:szCs w:val="20"/>
        </w:rPr>
        <w:t>aléas</w:t>
      </w:r>
      <w:r>
        <w:rPr>
          <w:bCs/>
          <w:color w:val="auto"/>
          <w:szCs w:val="20"/>
        </w:rPr>
        <w:t xml:space="preserve"> naturels [</w:t>
      </w:r>
      <w:proofErr w:type="spellStart"/>
      <w:r>
        <w:rPr>
          <w:bCs/>
          <w:color w:val="auto"/>
          <w:szCs w:val="20"/>
        </w:rPr>
        <w:t>Natech</w:t>
      </w:r>
      <w:proofErr w:type="spellEnd"/>
      <w:r>
        <w:rPr>
          <w:bCs/>
          <w:color w:val="auto"/>
          <w:szCs w:val="20"/>
        </w:rPr>
        <w:t>]</w:t>
      </w:r>
      <w:r w:rsidR="009916F5">
        <w:rPr>
          <w:bCs/>
          <w:color w:val="auto"/>
          <w:szCs w:val="20"/>
        </w:rPr>
        <w:t xml:space="preserve">, </w:t>
      </w:r>
      <w:r>
        <w:rPr>
          <w:bCs/>
          <w:color w:val="auto"/>
          <w:szCs w:val="20"/>
        </w:rPr>
        <w:t xml:space="preserve">COVID-19) ? Quelle période doit être couverte ? Comment le plan sera-t-il testé ? Quand sera-t-il révisé (par exemple pour les risques saisonniers) ? Quels sont les indicateurs qui déclencheront différents types d’actions ? </w:t>
      </w:r>
    </w:p>
    <w:p w14:paraId="1C6BF01A" w14:textId="77777777" w:rsidR="001B6673" w:rsidRDefault="001B6673" w:rsidP="001B6673">
      <w:pPr>
        <w:pStyle w:val="Heading3"/>
      </w:pPr>
      <w:bookmarkStart w:id="16" w:name="_Toc59440495"/>
      <w:r>
        <w:t>Tâches à accomplir :</w:t>
      </w:r>
      <w:bookmarkEnd w:id="16"/>
    </w:p>
    <w:p w14:paraId="73E6CE03" w14:textId="6A0E3E10" w:rsidR="001B6673" w:rsidRPr="004865B4" w:rsidRDefault="001B6673" w:rsidP="001B6673">
      <w:pPr>
        <w:pBdr>
          <w:top w:val="none" w:sz="0" w:space="0" w:color="auto"/>
          <w:left w:val="none" w:sz="0" w:space="0" w:color="auto"/>
          <w:bottom w:val="none" w:sz="0" w:space="0" w:color="auto"/>
          <w:right w:val="none" w:sz="0" w:space="0" w:color="auto"/>
          <w:between w:val="none" w:sz="0" w:space="0" w:color="auto"/>
        </w:pBdr>
        <w:spacing w:after="60"/>
        <w:rPr>
          <w:rFonts w:eastAsiaTheme="minorHAnsi" w:cs="Arial"/>
          <w:bCs/>
          <w:color w:val="auto"/>
          <w:szCs w:val="20"/>
        </w:rPr>
      </w:pPr>
      <w:r>
        <w:rPr>
          <w:bCs/>
          <w:color w:val="auto"/>
          <w:szCs w:val="20"/>
        </w:rPr>
        <w:t>Liste des tâches à accomplir dans le cadre de ce processus</w:t>
      </w:r>
      <w:r w:rsidR="00D11241">
        <w:rPr>
          <w:bCs/>
          <w:color w:val="auto"/>
          <w:szCs w:val="20"/>
        </w:rPr>
        <w:t>.</w:t>
      </w:r>
    </w:p>
    <w:p w14:paraId="787A4E9C" w14:textId="04987806" w:rsidR="001B6673" w:rsidRPr="001B6673" w:rsidRDefault="001B6673" w:rsidP="001B6673">
      <w:pPr>
        <w:pBdr>
          <w:top w:val="none" w:sz="0" w:space="0" w:color="auto"/>
          <w:left w:val="none" w:sz="0" w:space="0" w:color="auto"/>
          <w:bottom w:val="none" w:sz="0" w:space="0" w:color="auto"/>
          <w:right w:val="none" w:sz="0" w:space="0" w:color="auto"/>
          <w:between w:val="none" w:sz="0" w:space="0" w:color="auto"/>
        </w:pBdr>
        <w:spacing w:after="60"/>
        <w:rPr>
          <w:rFonts w:eastAsiaTheme="minorHAnsi" w:cs="Arial"/>
          <w:bCs/>
          <w:color w:val="auto"/>
          <w:szCs w:val="20"/>
        </w:rPr>
      </w:pPr>
      <w:r>
        <w:rPr>
          <w:bCs/>
          <w:color w:val="auto"/>
          <w:szCs w:val="20"/>
        </w:rPr>
        <w:t>En examinant chaque phase et chaque action du processus de planification d’urgence (</w:t>
      </w:r>
      <w:r w:rsidR="00D11241">
        <w:rPr>
          <w:bCs/>
          <w:color w:val="auto"/>
          <w:szCs w:val="20"/>
        </w:rPr>
        <w:t>Préparer</w:t>
      </w:r>
      <w:r>
        <w:rPr>
          <w:bCs/>
          <w:color w:val="auto"/>
          <w:szCs w:val="20"/>
        </w:rPr>
        <w:t xml:space="preserve">, </w:t>
      </w:r>
      <w:r w:rsidR="00D11241">
        <w:rPr>
          <w:bCs/>
          <w:color w:val="auto"/>
          <w:szCs w:val="20"/>
        </w:rPr>
        <w:t>Analyser</w:t>
      </w:r>
      <w:r>
        <w:rPr>
          <w:bCs/>
          <w:color w:val="auto"/>
          <w:szCs w:val="20"/>
        </w:rPr>
        <w:t xml:space="preserve">, </w:t>
      </w:r>
      <w:r w:rsidR="00D11241">
        <w:rPr>
          <w:bCs/>
          <w:color w:val="auto"/>
          <w:szCs w:val="20"/>
        </w:rPr>
        <w:t>élaborer</w:t>
      </w:r>
      <w:r>
        <w:rPr>
          <w:bCs/>
          <w:color w:val="auto"/>
          <w:szCs w:val="20"/>
        </w:rPr>
        <w:t xml:space="preserve">, </w:t>
      </w:r>
      <w:r w:rsidR="00D11241">
        <w:rPr>
          <w:bCs/>
          <w:color w:val="auto"/>
          <w:szCs w:val="20"/>
        </w:rPr>
        <w:t>Implémenter</w:t>
      </w:r>
      <w:r>
        <w:rPr>
          <w:bCs/>
          <w:color w:val="auto"/>
          <w:szCs w:val="20"/>
        </w:rPr>
        <w:t xml:space="preserve">, </w:t>
      </w:r>
      <w:r w:rsidR="00D11241">
        <w:rPr>
          <w:bCs/>
          <w:color w:val="auto"/>
          <w:szCs w:val="20"/>
        </w:rPr>
        <w:t>Réviser</w:t>
      </w:r>
      <w:r>
        <w:rPr>
          <w:bCs/>
          <w:color w:val="auto"/>
          <w:szCs w:val="20"/>
        </w:rPr>
        <w:t>), identifiez la manière dont vous souhaitez mener les activités.</w:t>
      </w:r>
    </w:p>
    <w:p w14:paraId="0726AAE4" w14:textId="429EF388" w:rsidR="001B6673" w:rsidRPr="001B6673" w:rsidRDefault="001B6673" w:rsidP="001B6673">
      <w:pPr>
        <w:pBdr>
          <w:top w:val="none" w:sz="0" w:space="0" w:color="auto"/>
          <w:left w:val="none" w:sz="0" w:space="0" w:color="auto"/>
          <w:bottom w:val="none" w:sz="0" w:space="0" w:color="auto"/>
          <w:right w:val="none" w:sz="0" w:space="0" w:color="auto"/>
          <w:between w:val="none" w:sz="0" w:space="0" w:color="auto"/>
        </w:pBdr>
        <w:spacing w:after="60"/>
        <w:rPr>
          <w:rFonts w:eastAsiaTheme="minorHAnsi" w:cs="Arial"/>
          <w:bCs/>
          <w:color w:val="auto"/>
          <w:szCs w:val="20"/>
        </w:rPr>
      </w:pPr>
      <w:r>
        <w:rPr>
          <w:bCs/>
          <w:color w:val="auto"/>
          <w:szCs w:val="20"/>
        </w:rPr>
        <w:t xml:space="preserve">Pour chaque phase, essayez de définir </w:t>
      </w:r>
      <w:r w:rsidR="00D11241">
        <w:rPr>
          <w:bCs/>
          <w:color w:val="auto"/>
          <w:szCs w:val="20"/>
        </w:rPr>
        <w:t>l’</w:t>
      </w:r>
      <w:r>
        <w:rPr>
          <w:bCs/>
          <w:color w:val="auto"/>
          <w:szCs w:val="20"/>
        </w:rPr>
        <w:t xml:space="preserve">approche méthodologique, en quantifiant la </w:t>
      </w:r>
      <w:r w:rsidR="00D11241">
        <w:rPr>
          <w:bCs/>
          <w:color w:val="auto"/>
          <w:szCs w:val="20"/>
        </w:rPr>
        <w:t xml:space="preserve">charge </w:t>
      </w:r>
      <w:r>
        <w:rPr>
          <w:bCs/>
          <w:color w:val="auto"/>
          <w:szCs w:val="20"/>
        </w:rPr>
        <w:t xml:space="preserve">de travail, qui doit diriger le processus et quelles sont les ressources nécessaires. Cela vous aidera à définir la durée du processus </w:t>
      </w:r>
      <w:r w:rsidR="00D11241">
        <w:rPr>
          <w:bCs/>
          <w:color w:val="auto"/>
          <w:szCs w:val="20"/>
        </w:rPr>
        <w:t>de planification d’urgence</w:t>
      </w:r>
      <w:r>
        <w:rPr>
          <w:bCs/>
          <w:color w:val="auto"/>
          <w:szCs w:val="20"/>
        </w:rPr>
        <w:t>.</w:t>
      </w:r>
    </w:p>
    <w:p w14:paraId="717695D0" w14:textId="77777777" w:rsidR="001B6673" w:rsidRPr="001B6673" w:rsidRDefault="001B6673" w:rsidP="001B6673">
      <w:pPr>
        <w:pBdr>
          <w:top w:val="none" w:sz="0" w:space="0" w:color="auto"/>
          <w:left w:val="none" w:sz="0" w:space="0" w:color="auto"/>
          <w:bottom w:val="none" w:sz="0" w:space="0" w:color="auto"/>
          <w:right w:val="none" w:sz="0" w:space="0" w:color="auto"/>
          <w:between w:val="none" w:sz="0" w:space="0" w:color="auto"/>
        </w:pBdr>
        <w:spacing w:after="60"/>
        <w:rPr>
          <w:rFonts w:eastAsiaTheme="minorHAnsi" w:cs="Arial"/>
          <w:bCs/>
          <w:color w:val="auto"/>
          <w:szCs w:val="20"/>
        </w:rPr>
      </w:pPr>
      <w:r>
        <w:rPr>
          <w:bCs/>
          <w:color w:val="auto"/>
          <w:szCs w:val="20"/>
        </w:rPr>
        <w:t>Cela vous aidera également à déterminer si vous avez besoin d’une aide extérieure et comment/où l’obtenir.</w:t>
      </w:r>
    </w:p>
    <w:p w14:paraId="6D5E341C" w14:textId="77777777" w:rsidR="001B6673" w:rsidRDefault="001B6673" w:rsidP="001B6673">
      <w:pPr>
        <w:pStyle w:val="Heading3"/>
      </w:pPr>
      <w:bookmarkStart w:id="17" w:name="_Toc59440496"/>
      <w:r>
        <w:t>Rôle de l’équipe :</w:t>
      </w:r>
      <w:bookmarkEnd w:id="17"/>
    </w:p>
    <w:p w14:paraId="52021792" w14:textId="32E93697" w:rsidR="001B6673" w:rsidRPr="001B6673" w:rsidRDefault="001B6673" w:rsidP="001B6673">
      <w:pPr>
        <w:pStyle w:val="ListParagraph"/>
        <w:numPr>
          <w:ilvl w:val="0"/>
          <w:numId w:val="19"/>
        </w:numPr>
        <w:ind w:left="426"/>
        <w:rPr>
          <w:rFonts w:eastAsiaTheme="minorHAnsi" w:cs="Arial"/>
          <w:bCs/>
          <w:color w:val="auto"/>
          <w:szCs w:val="20"/>
        </w:rPr>
      </w:pPr>
      <w:r>
        <w:t xml:space="preserve">Responsable : </w:t>
      </w:r>
      <w:r>
        <w:rPr>
          <w:bCs/>
          <w:color w:val="auto"/>
          <w:szCs w:val="20"/>
        </w:rPr>
        <w:t>Il est important de confier ce rôle à une personne qui possède suffisamment d’autorité pour mobiliser l’équipe, mais aussi assez de temps pour diriger le processus</w:t>
      </w:r>
      <w:r w:rsidR="00D11241">
        <w:rPr>
          <w:bCs/>
          <w:color w:val="auto"/>
          <w:szCs w:val="20"/>
        </w:rPr>
        <w:t xml:space="preserve">, </w:t>
      </w:r>
      <w:proofErr w:type="spellStart"/>
      <w:r w:rsidR="000361B0">
        <w:rPr>
          <w:bCs/>
          <w:color w:val="auto"/>
          <w:szCs w:val="20"/>
          <w:lang w:val="en-CH"/>
        </w:rPr>
        <w:t>cette</w:t>
      </w:r>
      <w:proofErr w:type="spellEnd"/>
      <w:r w:rsidR="000361B0">
        <w:rPr>
          <w:bCs/>
          <w:color w:val="auto"/>
          <w:szCs w:val="20"/>
          <w:lang w:val="en-CH"/>
        </w:rPr>
        <w:t xml:space="preserve"> </w:t>
      </w:r>
      <w:proofErr w:type="spellStart"/>
      <w:proofErr w:type="gramStart"/>
      <w:r w:rsidR="000361B0">
        <w:rPr>
          <w:bCs/>
          <w:color w:val="auto"/>
          <w:szCs w:val="20"/>
          <w:lang w:val="en-CH"/>
        </w:rPr>
        <w:t>personne</w:t>
      </w:r>
      <w:proofErr w:type="spellEnd"/>
      <w:r>
        <w:rPr>
          <w:bCs/>
          <w:color w:val="auto"/>
          <w:szCs w:val="20"/>
        </w:rPr>
        <w:t>:</w:t>
      </w:r>
      <w:proofErr w:type="gramEnd"/>
      <w:r>
        <w:rPr>
          <w:bCs/>
          <w:color w:val="auto"/>
          <w:szCs w:val="20"/>
        </w:rPr>
        <w:t xml:space="preserve"> </w:t>
      </w:r>
    </w:p>
    <w:p w14:paraId="354F308E" w14:textId="577AFAF3" w:rsidR="001B6673" w:rsidRDefault="00D11241" w:rsidP="001B6673">
      <w:pPr>
        <w:pStyle w:val="ListParagraph"/>
        <w:numPr>
          <w:ilvl w:val="0"/>
          <w:numId w:val="10"/>
        </w:numPr>
      </w:pPr>
      <w:proofErr w:type="gramStart"/>
      <w:r>
        <w:t>est</w:t>
      </w:r>
      <w:proofErr w:type="gramEnd"/>
      <w:r>
        <w:t xml:space="preserve"> </w:t>
      </w:r>
      <w:r w:rsidR="001B6673">
        <w:t>responsable de la méthodologie générale et du suivi de l'ensemble du processus.</w:t>
      </w:r>
    </w:p>
    <w:p w14:paraId="3A067C5F" w14:textId="23FA1F09" w:rsidR="001B6673" w:rsidRDefault="001B6673" w:rsidP="001B6673">
      <w:pPr>
        <w:pStyle w:val="ListParagraph"/>
        <w:numPr>
          <w:ilvl w:val="0"/>
          <w:numId w:val="10"/>
        </w:numPr>
      </w:pPr>
      <w:proofErr w:type="gramStart"/>
      <w:r>
        <w:t>coordonne</w:t>
      </w:r>
      <w:proofErr w:type="gramEnd"/>
      <w:r>
        <w:t xml:space="preserve"> la collecte d'informations, le travail d'équipe et la rédaction générale du plan.</w:t>
      </w:r>
    </w:p>
    <w:p w14:paraId="25DE189D" w14:textId="4D855F2E" w:rsidR="001B6673" w:rsidRDefault="001B6673" w:rsidP="001B6673">
      <w:pPr>
        <w:pStyle w:val="ListParagraph"/>
        <w:numPr>
          <w:ilvl w:val="0"/>
          <w:numId w:val="10"/>
        </w:numPr>
        <w:spacing w:after="0"/>
        <w:ind w:left="714" w:hanging="357"/>
      </w:pPr>
      <w:proofErr w:type="gramStart"/>
      <w:r>
        <w:t>dispose</w:t>
      </w:r>
      <w:proofErr w:type="gramEnd"/>
      <w:r>
        <w:t xml:space="preserve"> de l’autorité nécessaire pour s’assurer que les autres membres/unités de l’équipe coopèrent en temps utile.</w:t>
      </w:r>
    </w:p>
    <w:p w14:paraId="61FC5FCE" w14:textId="29C813B4" w:rsidR="00C22622" w:rsidRDefault="00C22622" w:rsidP="001B6673">
      <w:pPr>
        <w:pStyle w:val="ListParagraph"/>
        <w:numPr>
          <w:ilvl w:val="0"/>
          <w:numId w:val="10"/>
        </w:numPr>
        <w:spacing w:after="0"/>
        <w:ind w:left="714" w:hanging="357"/>
      </w:pPr>
      <w:proofErr w:type="gramStart"/>
      <w:r>
        <w:t>joue</w:t>
      </w:r>
      <w:proofErr w:type="gramEnd"/>
      <w:r>
        <w:t xml:space="preserve"> un rôle de coordination avec d’autres activités de réduction des risques de catastrophes, notamment avec les équipes des </w:t>
      </w:r>
      <w:r w:rsidR="00711A83">
        <w:t>Sociétés nationales</w:t>
      </w:r>
      <w:r>
        <w:t xml:space="preserve"> qui travaillent sur les développements des </w:t>
      </w:r>
      <w:r w:rsidR="00D11241">
        <w:t>PIE</w:t>
      </w:r>
      <w:r>
        <w:t xml:space="preserve">, BCP et </w:t>
      </w:r>
      <w:r w:rsidR="00072147">
        <w:t>PAP</w:t>
      </w:r>
      <w:r>
        <w:t>.</w:t>
      </w:r>
    </w:p>
    <w:p w14:paraId="7BA8AC4A" w14:textId="77777777" w:rsidR="000753FF" w:rsidRDefault="000753FF" w:rsidP="000753FF">
      <w:pPr>
        <w:pStyle w:val="ListParagraph"/>
        <w:spacing w:after="0"/>
        <w:ind w:left="714"/>
      </w:pPr>
    </w:p>
    <w:p w14:paraId="73FE31C0" w14:textId="7D72E38D" w:rsidR="001B6673" w:rsidRPr="00227AE2" w:rsidRDefault="001B6673" w:rsidP="001B6673">
      <w:pPr>
        <w:pStyle w:val="ListParagraph"/>
        <w:numPr>
          <w:ilvl w:val="0"/>
          <w:numId w:val="19"/>
        </w:numPr>
        <w:spacing w:before="120"/>
        <w:ind w:left="425" w:hanging="357"/>
        <w:rPr>
          <w:rFonts w:eastAsiaTheme="minorHAnsi" w:cs="Arial"/>
          <w:bCs/>
          <w:i/>
          <w:color w:val="auto"/>
          <w:szCs w:val="20"/>
        </w:rPr>
      </w:pPr>
      <w:r>
        <w:rPr>
          <w:color w:val="auto"/>
        </w:rPr>
        <w:t xml:space="preserve">Équipe de soutien : </w:t>
      </w:r>
      <w:r>
        <w:rPr>
          <w:bCs/>
          <w:color w:val="auto"/>
          <w:szCs w:val="20"/>
        </w:rPr>
        <w:t xml:space="preserve">Définir le rôle et les responsabilités de l’équipe de soutien (finances, logistique, </w:t>
      </w:r>
      <w:r w:rsidR="00D11241">
        <w:rPr>
          <w:bCs/>
          <w:color w:val="auto"/>
          <w:szCs w:val="20"/>
        </w:rPr>
        <w:t>ICT</w:t>
      </w:r>
      <w:r>
        <w:rPr>
          <w:bCs/>
          <w:color w:val="auto"/>
          <w:szCs w:val="20"/>
        </w:rPr>
        <w:t>...).</w:t>
      </w:r>
    </w:p>
    <w:p w14:paraId="79C77CFF" w14:textId="77777777" w:rsidR="001B6673" w:rsidRDefault="001B6673" w:rsidP="001B6673">
      <w:pPr>
        <w:pStyle w:val="ListParagraph"/>
        <w:spacing w:after="0"/>
        <w:ind w:left="1440"/>
      </w:pPr>
    </w:p>
    <w:p w14:paraId="7513325A" w14:textId="326D1242" w:rsidR="001B6673" w:rsidRPr="001B6673" w:rsidRDefault="001B6673" w:rsidP="001B6673">
      <w:pPr>
        <w:pStyle w:val="ListParagraph"/>
        <w:numPr>
          <w:ilvl w:val="0"/>
          <w:numId w:val="19"/>
        </w:numPr>
        <w:spacing w:before="120"/>
        <w:ind w:left="425" w:hanging="357"/>
        <w:rPr>
          <w:rFonts w:eastAsiaTheme="minorHAnsi" w:cs="Arial"/>
          <w:bCs/>
          <w:color w:val="auto"/>
          <w:szCs w:val="20"/>
        </w:rPr>
      </w:pPr>
      <w:r>
        <w:t xml:space="preserve">Autres membres de l’équipe : </w:t>
      </w:r>
      <w:r>
        <w:rPr>
          <w:bCs/>
          <w:color w:val="auto"/>
          <w:szCs w:val="20"/>
        </w:rPr>
        <w:t xml:space="preserve">En fonction des secteurs d’intervention potentiels de la </w:t>
      </w:r>
      <w:r w:rsidR="00711A83">
        <w:rPr>
          <w:bCs/>
          <w:color w:val="auto"/>
          <w:szCs w:val="20"/>
        </w:rPr>
        <w:t>Société nationale</w:t>
      </w:r>
      <w:r>
        <w:rPr>
          <w:bCs/>
          <w:color w:val="auto"/>
          <w:szCs w:val="20"/>
        </w:rPr>
        <w:t xml:space="preserve">, il est important d’impliquer les experts concernés pour contribuer à l’analyse des risques, assurer la coordination avec les autorités de gestion des catastrophes/santé et veiller à ce que les </w:t>
      </w:r>
      <w:r w:rsidR="006868D1">
        <w:rPr>
          <w:bCs/>
          <w:color w:val="auto"/>
          <w:szCs w:val="20"/>
        </w:rPr>
        <w:t>plans de contingence</w:t>
      </w:r>
      <w:r>
        <w:rPr>
          <w:bCs/>
          <w:color w:val="auto"/>
          <w:szCs w:val="20"/>
        </w:rPr>
        <w:t xml:space="preserve"> reflètent la capacité de réaction de la </w:t>
      </w:r>
      <w:r w:rsidR="00711A83">
        <w:rPr>
          <w:bCs/>
          <w:color w:val="auto"/>
          <w:szCs w:val="20"/>
        </w:rPr>
        <w:t>Société nationale</w:t>
      </w:r>
      <w:r>
        <w:rPr>
          <w:bCs/>
          <w:color w:val="auto"/>
          <w:szCs w:val="20"/>
        </w:rPr>
        <w:t>.</w:t>
      </w:r>
    </w:p>
    <w:p w14:paraId="7C7FA04D" w14:textId="77777777" w:rsidR="001B6673" w:rsidRDefault="001B6673" w:rsidP="001B6673">
      <w:pPr>
        <w:pStyle w:val="ListParagraph"/>
        <w:spacing w:after="0"/>
        <w:ind w:left="1440"/>
      </w:pPr>
    </w:p>
    <w:p w14:paraId="4735A2AF" w14:textId="255217F9" w:rsidR="001B6673" w:rsidRPr="001B6673" w:rsidRDefault="001B6673" w:rsidP="001B6673">
      <w:pPr>
        <w:pStyle w:val="ListParagraph"/>
        <w:numPr>
          <w:ilvl w:val="0"/>
          <w:numId w:val="19"/>
        </w:numPr>
        <w:ind w:left="426"/>
        <w:rPr>
          <w:rFonts w:eastAsiaTheme="minorHAnsi" w:cs="Arial"/>
          <w:bCs/>
          <w:color w:val="auto"/>
          <w:szCs w:val="20"/>
        </w:rPr>
      </w:pPr>
      <w:r>
        <w:t xml:space="preserve">Soutien externe éventuel : </w:t>
      </w:r>
      <w:r>
        <w:rPr>
          <w:bCs/>
          <w:color w:val="auto"/>
          <w:szCs w:val="20"/>
        </w:rPr>
        <w:t xml:space="preserve">Cela dépend des capacités de la </w:t>
      </w:r>
      <w:r w:rsidR="00711A83">
        <w:rPr>
          <w:bCs/>
          <w:color w:val="auto"/>
          <w:szCs w:val="20"/>
        </w:rPr>
        <w:t>Société nationale</w:t>
      </w:r>
      <w:r>
        <w:rPr>
          <w:bCs/>
          <w:color w:val="auto"/>
          <w:szCs w:val="20"/>
        </w:rPr>
        <w:t xml:space="preserve"> à diriger le processus de planification d’urgence. Il arrive que les </w:t>
      </w:r>
      <w:r w:rsidR="00711A83">
        <w:rPr>
          <w:bCs/>
          <w:color w:val="auto"/>
          <w:szCs w:val="20"/>
        </w:rPr>
        <w:t>Sociétés nationales</w:t>
      </w:r>
      <w:r>
        <w:rPr>
          <w:bCs/>
          <w:color w:val="auto"/>
          <w:szCs w:val="20"/>
        </w:rPr>
        <w:t xml:space="preserve"> aient besoin d’une facilitation externe ou d’un soutien technique pour des tâches spécifiques. Ainsi, l’analyse du contexte du pays peut être soutenue par un partenaire externe tel qu’une institution/université universitaire. La définition des seuils/déclencheurs pourrait être soutenue par les agences météorologiques.</w:t>
      </w:r>
    </w:p>
    <w:p w14:paraId="6FAEDF06" w14:textId="77777777" w:rsidR="001B6673" w:rsidRDefault="001B6673" w:rsidP="001B6673">
      <w:pPr>
        <w:pStyle w:val="Heading3"/>
      </w:pPr>
      <w:bookmarkStart w:id="18" w:name="_Toc59440497"/>
      <w:r>
        <w:lastRenderedPageBreak/>
        <w:t>Calendrier et ressources</w:t>
      </w:r>
      <w:bookmarkEnd w:id="18"/>
    </w:p>
    <w:p w14:paraId="22AEE603" w14:textId="11685DB0" w:rsidR="001B6673" w:rsidRPr="004865B4" w:rsidRDefault="001B6673" w:rsidP="001B6673">
      <w:pPr>
        <w:rPr>
          <w:rFonts w:eastAsiaTheme="minorHAnsi" w:cs="Arial"/>
          <w:bCs/>
          <w:color w:val="auto"/>
          <w:szCs w:val="20"/>
        </w:rPr>
      </w:pPr>
      <w:r>
        <w:rPr>
          <w:bCs/>
          <w:color w:val="auto"/>
          <w:szCs w:val="20"/>
        </w:rPr>
        <w:t xml:space="preserve">Calendrier de réalisation des tâches - ou des résultats </w:t>
      </w:r>
      <w:r w:rsidR="00654C67">
        <w:rPr>
          <w:bCs/>
          <w:color w:val="auto"/>
          <w:szCs w:val="20"/>
        </w:rPr>
        <w:t>principaux</w:t>
      </w:r>
      <w:r>
        <w:rPr>
          <w:bCs/>
          <w:color w:val="auto"/>
          <w:szCs w:val="20"/>
        </w:rPr>
        <w:t xml:space="preserve"> avec les ressources allouées pour atteindre les résultats</w:t>
      </w:r>
      <w:r w:rsidR="00654C67">
        <w:rPr>
          <w:bCs/>
          <w:color w:val="auto"/>
          <w:szCs w:val="20"/>
        </w:rPr>
        <w:t>.</w:t>
      </w:r>
    </w:p>
    <w:p w14:paraId="2ABACC3F" w14:textId="77777777" w:rsidR="001B6673" w:rsidRPr="001B6673" w:rsidRDefault="001B6673" w:rsidP="001B6673">
      <w:pPr>
        <w:rPr>
          <w:rFonts w:eastAsiaTheme="minorHAnsi" w:cs="Arial"/>
          <w:bCs/>
          <w:color w:val="auto"/>
          <w:szCs w:val="20"/>
        </w:rPr>
      </w:pPr>
      <w:r>
        <w:rPr>
          <w:bCs/>
          <w:color w:val="auto"/>
          <w:szCs w:val="20"/>
        </w:rPr>
        <w:t>Pour chaque phase et les actions qui s’y rapportent, il faut déterminer le temps nécessaire et les ressources à allouer. Déterminer les indicateurs clés pour chaque action et/ou phase. Un tableau de gestion de projet pourrait aider à visualiser le processus.</w:t>
      </w:r>
    </w:p>
    <w:p w14:paraId="55742EAF" w14:textId="77777777" w:rsidR="00646EB1" w:rsidRDefault="001B6673" w:rsidP="001B6673">
      <w:pPr>
        <w:rPr>
          <w:bCs/>
          <w:color w:val="auto"/>
          <w:szCs w:val="20"/>
        </w:rPr>
      </w:pPr>
      <w:r>
        <w:rPr>
          <w:bCs/>
          <w:color w:val="auto"/>
          <w:szCs w:val="20"/>
        </w:rPr>
        <w:t xml:space="preserve">Élaborer tout document supplémentaire (mandat du consultant externe, budget...) nécessaire pour étayer le processus </w:t>
      </w:r>
      <w:r w:rsidR="00654C67">
        <w:rPr>
          <w:bCs/>
          <w:color w:val="auto"/>
          <w:szCs w:val="20"/>
        </w:rPr>
        <w:t>planification d’urgence</w:t>
      </w:r>
      <w:r>
        <w:rPr>
          <w:bCs/>
          <w:color w:val="auto"/>
          <w:szCs w:val="20"/>
        </w:rPr>
        <w:t xml:space="preserve"> de la </w:t>
      </w:r>
      <w:r w:rsidR="00711A83">
        <w:rPr>
          <w:bCs/>
          <w:color w:val="auto"/>
          <w:szCs w:val="20"/>
        </w:rPr>
        <w:t>Société nationale</w:t>
      </w:r>
      <w:r>
        <w:rPr>
          <w:bCs/>
          <w:color w:val="auto"/>
          <w:szCs w:val="20"/>
        </w:rPr>
        <w:t>.</w:t>
      </w:r>
    </w:p>
    <w:p w14:paraId="30528BD6" w14:textId="77777777" w:rsidR="00646EB1" w:rsidRDefault="00646EB1" w:rsidP="001B6673">
      <w:pPr>
        <w:rPr>
          <w:bCs/>
          <w:color w:val="auto"/>
          <w:szCs w:val="20"/>
        </w:rPr>
      </w:pPr>
    </w:p>
    <w:p w14:paraId="65D5152B" w14:textId="77777777" w:rsidR="001B6673" w:rsidRDefault="001B6673" w:rsidP="001B6673">
      <w:pPr>
        <w:pStyle w:val="Heading2"/>
      </w:pPr>
      <w:bookmarkStart w:id="19" w:name="_Toc59440498"/>
      <w:r>
        <w:t>Tableau de suivi des données</w:t>
      </w:r>
      <w:bookmarkEnd w:id="19"/>
    </w:p>
    <w:p w14:paraId="3A9A0A82" w14:textId="5CC62EA7" w:rsidR="001B6673" w:rsidRPr="00227AE2" w:rsidRDefault="001B6673" w:rsidP="001B6673">
      <w:pPr>
        <w:rPr>
          <w:rFonts w:eastAsiaTheme="minorHAnsi" w:cs="Arial"/>
          <w:bCs/>
          <w:i/>
          <w:color w:val="auto"/>
          <w:szCs w:val="20"/>
        </w:rPr>
      </w:pPr>
      <w:r>
        <w:rPr>
          <w:bCs/>
          <w:color w:val="auto"/>
          <w:szCs w:val="20"/>
        </w:rPr>
        <w:t xml:space="preserve">La liste des données permet </w:t>
      </w:r>
      <w:r w:rsidR="00654C67">
        <w:rPr>
          <w:bCs/>
          <w:color w:val="auto"/>
          <w:szCs w:val="20"/>
        </w:rPr>
        <w:t>d’identifier</w:t>
      </w:r>
      <w:r>
        <w:rPr>
          <w:bCs/>
          <w:color w:val="auto"/>
          <w:szCs w:val="20"/>
        </w:rPr>
        <w:t xml:space="preserve"> les éléments disponibles et </w:t>
      </w:r>
      <w:r w:rsidR="00654C67">
        <w:rPr>
          <w:bCs/>
          <w:color w:val="auto"/>
          <w:szCs w:val="20"/>
        </w:rPr>
        <w:t xml:space="preserve">ceux </w:t>
      </w:r>
      <w:r>
        <w:rPr>
          <w:bCs/>
          <w:color w:val="auto"/>
          <w:szCs w:val="20"/>
        </w:rPr>
        <w:t xml:space="preserve">qui doivent encore être collectés. Référez-vous à certaines annexes étayant le </w:t>
      </w:r>
      <w:r w:rsidR="00851734">
        <w:rPr>
          <w:bCs/>
          <w:color w:val="auto"/>
          <w:szCs w:val="20"/>
        </w:rPr>
        <w:t>Plan de Contingence</w:t>
      </w:r>
      <w:r>
        <w:rPr>
          <w:bCs/>
          <w:color w:val="auto"/>
          <w:szCs w:val="20"/>
        </w:rPr>
        <w:t>. Les données peuvent être organisées selon les cinq domaines du</w:t>
      </w:r>
      <w:r>
        <w:rPr>
          <w:bCs/>
          <w:i/>
          <w:color w:val="FF0000"/>
          <w:szCs w:val="20"/>
        </w:rPr>
        <w:t xml:space="preserve"> </w:t>
      </w:r>
      <w:hyperlink r:id="rId42" w:history="1">
        <w:r>
          <w:rPr>
            <w:rStyle w:val="Hyperlink"/>
            <w:color w:val="0000FF"/>
          </w:rPr>
          <w:t xml:space="preserve">mécanisme </w:t>
        </w:r>
        <w:r w:rsidR="00654C67">
          <w:rPr>
            <w:rStyle w:val="Hyperlink"/>
            <w:color w:val="0000FF"/>
          </w:rPr>
          <w:t>PIE</w:t>
        </w:r>
      </w:hyperlink>
      <w:r>
        <w:rPr>
          <w:bCs/>
          <w:i/>
          <w:color w:val="auto"/>
          <w:szCs w:val="20"/>
        </w:rPr>
        <w:t>.</w:t>
      </w:r>
    </w:p>
    <w:tbl>
      <w:tblPr>
        <w:tblStyle w:val="TableGrid"/>
        <w:tblW w:w="10206" w:type="dxa"/>
        <w:jc w:val="center"/>
        <w:tblLook w:val="04A0" w:firstRow="1" w:lastRow="0" w:firstColumn="1" w:lastColumn="0" w:noHBand="0" w:noVBand="1"/>
      </w:tblPr>
      <w:tblGrid>
        <w:gridCol w:w="1925"/>
        <w:gridCol w:w="1710"/>
        <w:gridCol w:w="896"/>
        <w:gridCol w:w="1784"/>
        <w:gridCol w:w="1721"/>
        <w:gridCol w:w="2170"/>
      </w:tblGrid>
      <w:tr w:rsidR="001B6673" w:rsidRPr="00C601D0" w14:paraId="60632B73" w14:textId="77777777" w:rsidTr="002E2E62">
        <w:trPr>
          <w:jc w:val="center"/>
        </w:trPr>
        <w:tc>
          <w:tcPr>
            <w:tcW w:w="1925" w:type="dxa"/>
            <w:tcBorders>
              <w:top w:val="nil"/>
              <w:left w:val="nil"/>
              <w:bottom w:val="single" w:sz="4" w:space="0" w:color="000000" w:themeColor="text1"/>
              <w:right w:val="single" w:sz="4" w:space="0" w:color="000000" w:themeColor="text1"/>
            </w:tcBorders>
            <w:shd w:val="clear" w:color="auto" w:fill="FFFFFF" w:themeFill="background1"/>
          </w:tcPr>
          <w:p w14:paraId="4291E8AE" w14:textId="77777777" w:rsidR="001B6673" w:rsidRPr="00C601D0" w:rsidRDefault="001B6673" w:rsidP="00227AE2">
            <w:pPr>
              <w:jc w:val="both"/>
              <w:rPr>
                <w:rFonts w:eastAsiaTheme="minorHAnsi" w:cs="Arial"/>
                <w:b/>
                <w:bCs/>
                <w:smallCaps/>
                <w:lang w:eastAsia="en-US"/>
              </w:rPr>
            </w:pPr>
          </w:p>
        </w:tc>
        <w:tc>
          <w:tcPr>
            <w:tcW w:w="1710" w:type="dxa"/>
            <w:tcBorders>
              <w:left w:val="single" w:sz="4" w:space="0" w:color="000000" w:themeColor="text1"/>
            </w:tcBorders>
            <w:shd w:val="clear" w:color="auto" w:fill="D9D9D9" w:themeFill="background1" w:themeFillShade="D9"/>
          </w:tcPr>
          <w:p w14:paraId="729831AD" w14:textId="77777777" w:rsidR="001B6673" w:rsidRPr="00C601D0" w:rsidRDefault="001B6673" w:rsidP="00227AE2">
            <w:pPr>
              <w:rPr>
                <w:rFonts w:eastAsiaTheme="minorHAnsi" w:cs="Arial"/>
                <w:b/>
                <w:bCs/>
                <w:smallCaps/>
              </w:rPr>
            </w:pPr>
            <w:r>
              <w:rPr>
                <w:b/>
                <w:bCs/>
                <w:smallCaps/>
              </w:rPr>
              <w:t>Titre du document</w:t>
            </w:r>
          </w:p>
        </w:tc>
        <w:tc>
          <w:tcPr>
            <w:tcW w:w="896" w:type="dxa"/>
            <w:shd w:val="clear" w:color="auto" w:fill="D9D9D9" w:themeFill="background1" w:themeFillShade="D9"/>
          </w:tcPr>
          <w:p w14:paraId="53B6AB37" w14:textId="77777777" w:rsidR="001B6673" w:rsidRPr="00C601D0" w:rsidRDefault="001B6673" w:rsidP="00227AE2">
            <w:pPr>
              <w:jc w:val="both"/>
              <w:rPr>
                <w:rFonts w:eastAsiaTheme="minorHAnsi" w:cs="Arial"/>
                <w:b/>
                <w:bCs/>
                <w:smallCaps/>
              </w:rPr>
            </w:pPr>
            <w:r>
              <w:rPr>
                <w:b/>
                <w:bCs/>
                <w:smallCaps/>
              </w:rPr>
              <w:t>Date</w:t>
            </w:r>
          </w:p>
        </w:tc>
        <w:tc>
          <w:tcPr>
            <w:tcW w:w="1784" w:type="dxa"/>
            <w:shd w:val="clear" w:color="auto" w:fill="D9D9D9" w:themeFill="background1" w:themeFillShade="D9"/>
          </w:tcPr>
          <w:p w14:paraId="21D33014" w14:textId="77777777" w:rsidR="001B6673" w:rsidRPr="00C601D0" w:rsidRDefault="001B6673" w:rsidP="00227AE2">
            <w:pPr>
              <w:jc w:val="both"/>
              <w:rPr>
                <w:rFonts w:eastAsiaTheme="minorHAnsi" w:cs="Arial"/>
                <w:b/>
                <w:bCs/>
                <w:smallCaps/>
              </w:rPr>
            </w:pPr>
            <w:r>
              <w:rPr>
                <w:b/>
                <w:bCs/>
                <w:smallCaps/>
              </w:rPr>
              <w:t>Où le trouver</w:t>
            </w:r>
          </w:p>
        </w:tc>
        <w:tc>
          <w:tcPr>
            <w:tcW w:w="1721" w:type="dxa"/>
            <w:shd w:val="clear" w:color="auto" w:fill="D9D9D9" w:themeFill="background1" w:themeFillShade="D9"/>
          </w:tcPr>
          <w:p w14:paraId="3DE8339A" w14:textId="77777777" w:rsidR="001B6673" w:rsidRPr="00C601D0" w:rsidRDefault="001B6673" w:rsidP="00227AE2">
            <w:pPr>
              <w:jc w:val="both"/>
              <w:rPr>
                <w:rFonts w:eastAsiaTheme="minorHAnsi" w:cs="Arial"/>
                <w:b/>
                <w:bCs/>
                <w:smallCaps/>
              </w:rPr>
            </w:pPr>
            <w:r>
              <w:rPr>
                <w:b/>
                <w:bCs/>
                <w:smallCaps/>
              </w:rPr>
              <w:t>Éléments clés</w:t>
            </w:r>
          </w:p>
        </w:tc>
        <w:tc>
          <w:tcPr>
            <w:tcW w:w="2170" w:type="dxa"/>
            <w:shd w:val="clear" w:color="auto" w:fill="D9D9D9" w:themeFill="background1" w:themeFillShade="D9"/>
          </w:tcPr>
          <w:p w14:paraId="1010679A" w14:textId="1444E1C7" w:rsidR="001B6673" w:rsidRPr="00C601D0" w:rsidRDefault="00654C67" w:rsidP="00227AE2">
            <w:pPr>
              <w:rPr>
                <w:rFonts w:eastAsiaTheme="minorHAnsi" w:cs="Arial"/>
                <w:b/>
                <w:bCs/>
                <w:smallCaps/>
              </w:rPr>
            </w:pPr>
            <w:r>
              <w:rPr>
                <w:b/>
                <w:bCs/>
                <w:smallCaps/>
              </w:rPr>
              <w:t xml:space="preserve">Révision </w:t>
            </w:r>
            <w:r w:rsidR="001B6673">
              <w:rPr>
                <w:b/>
                <w:bCs/>
                <w:smallCaps/>
              </w:rPr>
              <w:t>/modification</w:t>
            </w:r>
            <w:r>
              <w:rPr>
                <w:b/>
                <w:bCs/>
                <w:smallCaps/>
              </w:rPr>
              <w:t xml:space="preserve"> nécessaire</w:t>
            </w:r>
          </w:p>
        </w:tc>
      </w:tr>
      <w:tr w:rsidR="001B6673" w14:paraId="1F42E25D" w14:textId="77777777" w:rsidTr="002E2E62">
        <w:trPr>
          <w:jc w:val="center"/>
        </w:trPr>
        <w:tc>
          <w:tcPr>
            <w:tcW w:w="1925" w:type="dxa"/>
            <w:vMerge w:val="restart"/>
            <w:tcBorders>
              <w:top w:val="single" w:sz="4" w:space="0" w:color="000000" w:themeColor="text1"/>
            </w:tcBorders>
            <w:shd w:val="clear" w:color="auto" w:fill="DDD9C3"/>
          </w:tcPr>
          <w:p w14:paraId="5786D6EF" w14:textId="77777777" w:rsidR="001B6673" w:rsidRPr="00C601D0" w:rsidRDefault="001B6673" w:rsidP="00227AE2">
            <w:pPr>
              <w:rPr>
                <w:b/>
              </w:rPr>
            </w:pPr>
            <w:r>
              <w:rPr>
                <w:b/>
              </w:rPr>
              <w:t>Analyse et planification</w:t>
            </w:r>
          </w:p>
        </w:tc>
        <w:tc>
          <w:tcPr>
            <w:tcW w:w="1710" w:type="dxa"/>
          </w:tcPr>
          <w:p w14:paraId="6AF067D6" w14:textId="77777777" w:rsidR="001B6673" w:rsidRPr="00241809" w:rsidRDefault="001B6673" w:rsidP="00227AE2">
            <w:pPr>
              <w:rPr>
                <w:sz w:val="16"/>
                <w:szCs w:val="16"/>
              </w:rPr>
            </w:pPr>
          </w:p>
        </w:tc>
        <w:tc>
          <w:tcPr>
            <w:tcW w:w="896" w:type="dxa"/>
          </w:tcPr>
          <w:p w14:paraId="23CC74DB" w14:textId="77777777" w:rsidR="001B6673" w:rsidRPr="00241809" w:rsidRDefault="001B6673" w:rsidP="00227AE2">
            <w:pPr>
              <w:rPr>
                <w:sz w:val="16"/>
                <w:szCs w:val="16"/>
              </w:rPr>
            </w:pPr>
          </w:p>
        </w:tc>
        <w:tc>
          <w:tcPr>
            <w:tcW w:w="1784" w:type="dxa"/>
          </w:tcPr>
          <w:p w14:paraId="75ABAFA0" w14:textId="77777777" w:rsidR="001B6673" w:rsidRPr="00241809" w:rsidRDefault="001B6673" w:rsidP="00227AE2">
            <w:pPr>
              <w:rPr>
                <w:sz w:val="16"/>
                <w:szCs w:val="16"/>
              </w:rPr>
            </w:pPr>
          </w:p>
        </w:tc>
        <w:tc>
          <w:tcPr>
            <w:tcW w:w="1721" w:type="dxa"/>
          </w:tcPr>
          <w:p w14:paraId="567D848F" w14:textId="77777777" w:rsidR="001B6673" w:rsidRPr="00241809" w:rsidRDefault="001B6673" w:rsidP="00227AE2">
            <w:pPr>
              <w:rPr>
                <w:sz w:val="16"/>
                <w:szCs w:val="16"/>
              </w:rPr>
            </w:pPr>
          </w:p>
        </w:tc>
        <w:tc>
          <w:tcPr>
            <w:tcW w:w="2170" w:type="dxa"/>
          </w:tcPr>
          <w:p w14:paraId="28535078" w14:textId="77777777" w:rsidR="001B6673" w:rsidRPr="00241809" w:rsidRDefault="001B6673" w:rsidP="00227AE2">
            <w:pPr>
              <w:rPr>
                <w:sz w:val="16"/>
                <w:szCs w:val="16"/>
              </w:rPr>
            </w:pPr>
          </w:p>
        </w:tc>
      </w:tr>
      <w:tr w:rsidR="001B6673" w14:paraId="79CA48E7" w14:textId="77777777" w:rsidTr="002E2E62">
        <w:trPr>
          <w:jc w:val="center"/>
        </w:trPr>
        <w:tc>
          <w:tcPr>
            <w:tcW w:w="1925" w:type="dxa"/>
            <w:vMerge/>
            <w:shd w:val="clear" w:color="auto" w:fill="DDD9C3"/>
          </w:tcPr>
          <w:p w14:paraId="63F2CA4C" w14:textId="77777777" w:rsidR="001B6673" w:rsidRPr="00C601D0" w:rsidRDefault="001B6673" w:rsidP="00227AE2">
            <w:pPr>
              <w:rPr>
                <w:b/>
              </w:rPr>
            </w:pPr>
          </w:p>
        </w:tc>
        <w:tc>
          <w:tcPr>
            <w:tcW w:w="1710" w:type="dxa"/>
          </w:tcPr>
          <w:p w14:paraId="7447AE82" w14:textId="77777777" w:rsidR="001B6673" w:rsidRPr="00241809" w:rsidRDefault="001B6673" w:rsidP="00227AE2">
            <w:pPr>
              <w:rPr>
                <w:sz w:val="16"/>
                <w:szCs w:val="16"/>
              </w:rPr>
            </w:pPr>
          </w:p>
        </w:tc>
        <w:tc>
          <w:tcPr>
            <w:tcW w:w="896" w:type="dxa"/>
          </w:tcPr>
          <w:p w14:paraId="7CFE9674" w14:textId="77777777" w:rsidR="001B6673" w:rsidRPr="00241809" w:rsidRDefault="001B6673" w:rsidP="00227AE2">
            <w:pPr>
              <w:rPr>
                <w:sz w:val="16"/>
                <w:szCs w:val="16"/>
              </w:rPr>
            </w:pPr>
          </w:p>
        </w:tc>
        <w:tc>
          <w:tcPr>
            <w:tcW w:w="1784" w:type="dxa"/>
          </w:tcPr>
          <w:p w14:paraId="4DDEC944" w14:textId="77777777" w:rsidR="001B6673" w:rsidRPr="00241809" w:rsidRDefault="001B6673" w:rsidP="00227AE2">
            <w:pPr>
              <w:rPr>
                <w:sz w:val="16"/>
                <w:szCs w:val="16"/>
              </w:rPr>
            </w:pPr>
          </w:p>
        </w:tc>
        <w:tc>
          <w:tcPr>
            <w:tcW w:w="1721" w:type="dxa"/>
          </w:tcPr>
          <w:p w14:paraId="76DC098B" w14:textId="77777777" w:rsidR="001B6673" w:rsidRPr="00241809" w:rsidRDefault="001B6673" w:rsidP="00227AE2">
            <w:pPr>
              <w:rPr>
                <w:sz w:val="16"/>
                <w:szCs w:val="16"/>
              </w:rPr>
            </w:pPr>
          </w:p>
        </w:tc>
        <w:tc>
          <w:tcPr>
            <w:tcW w:w="2170" w:type="dxa"/>
          </w:tcPr>
          <w:p w14:paraId="72672383" w14:textId="77777777" w:rsidR="001B6673" w:rsidRPr="00241809" w:rsidRDefault="001B6673" w:rsidP="00227AE2">
            <w:pPr>
              <w:rPr>
                <w:sz w:val="16"/>
                <w:szCs w:val="16"/>
              </w:rPr>
            </w:pPr>
          </w:p>
        </w:tc>
      </w:tr>
      <w:tr w:rsidR="001B6673" w14:paraId="4BEFEA6C" w14:textId="77777777" w:rsidTr="002E2E62">
        <w:trPr>
          <w:jc w:val="center"/>
        </w:trPr>
        <w:tc>
          <w:tcPr>
            <w:tcW w:w="1925" w:type="dxa"/>
            <w:vMerge w:val="restart"/>
            <w:tcBorders>
              <w:top w:val="single" w:sz="4" w:space="0" w:color="000000" w:themeColor="text1"/>
            </w:tcBorders>
            <w:shd w:val="clear" w:color="auto" w:fill="DDD9C3"/>
          </w:tcPr>
          <w:p w14:paraId="605BD0E9" w14:textId="77777777" w:rsidR="001B6673" w:rsidRPr="00C601D0" w:rsidRDefault="001B6673" w:rsidP="00227AE2">
            <w:pPr>
              <w:rPr>
                <w:b/>
              </w:rPr>
            </w:pPr>
            <w:r>
              <w:rPr>
                <w:b/>
              </w:rPr>
              <w:t>Coordination</w:t>
            </w:r>
          </w:p>
        </w:tc>
        <w:tc>
          <w:tcPr>
            <w:tcW w:w="1710" w:type="dxa"/>
          </w:tcPr>
          <w:p w14:paraId="3D6A5263" w14:textId="77777777" w:rsidR="001B6673" w:rsidRPr="00241809" w:rsidRDefault="001B6673" w:rsidP="00227AE2">
            <w:pPr>
              <w:rPr>
                <w:sz w:val="16"/>
                <w:szCs w:val="16"/>
              </w:rPr>
            </w:pPr>
          </w:p>
        </w:tc>
        <w:tc>
          <w:tcPr>
            <w:tcW w:w="896" w:type="dxa"/>
          </w:tcPr>
          <w:p w14:paraId="32E76E57" w14:textId="77777777" w:rsidR="001B6673" w:rsidRPr="00241809" w:rsidRDefault="001B6673" w:rsidP="00227AE2">
            <w:pPr>
              <w:rPr>
                <w:sz w:val="16"/>
                <w:szCs w:val="16"/>
              </w:rPr>
            </w:pPr>
          </w:p>
        </w:tc>
        <w:tc>
          <w:tcPr>
            <w:tcW w:w="1784" w:type="dxa"/>
          </w:tcPr>
          <w:p w14:paraId="7380D94B" w14:textId="77777777" w:rsidR="001B6673" w:rsidRPr="00241809" w:rsidRDefault="001B6673" w:rsidP="00227AE2">
            <w:pPr>
              <w:rPr>
                <w:sz w:val="16"/>
                <w:szCs w:val="16"/>
              </w:rPr>
            </w:pPr>
          </w:p>
        </w:tc>
        <w:tc>
          <w:tcPr>
            <w:tcW w:w="1721" w:type="dxa"/>
          </w:tcPr>
          <w:p w14:paraId="311CFC59" w14:textId="77777777" w:rsidR="001B6673" w:rsidRPr="00241809" w:rsidRDefault="001B6673" w:rsidP="00227AE2">
            <w:pPr>
              <w:rPr>
                <w:sz w:val="16"/>
                <w:szCs w:val="16"/>
              </w:rPr>
            </w:pPr>
          </w:p>
        </w:tc>
        <w:tc>
          <w:tcPr>
            <w:tcW w:w="2170" w:type="dxa"/>
          </w:tcPr>
          <w:p w14:paraId="40099D9A" w14:textId="77777777" w:rsidR="001B6673" w:rsidRPr="00241809" w:rsidRDefault="001B6673" w:rsidP="00227AE2">
            <w:pPr>
              <w:rPr>
                <w:sz w:val="16"/>
                <w:szCs w:val="16"/>
              </w:rPr>
            </w:pPr>
          </w:p>
        </w:tc>
      </w:tr>
      <w:tr w:rsidR="001B6673" w14:paraId="32BCB24F" w14:textId="77777777" w:rsidTr="002E2E62">
        <w:trPr>
          <w:jc w:val="center"/>
        </w:trPr>
        <w:tc>
          <w:tcPr>
            <w:tcW w:w="1925" w:type="dxa"/>
            <w:vMerge/>
            <w:shd w:val="clear" w:color="auto" w:fill="DDD9C3"/>
          </w:tcPr>
          <w:p w14:paraId="4E010408" w14:textId="77777777" w:rsidR="001B6673" w:rsidRPr="00C601D0" w:rsidRDefault="001B6673" w:rsidP="00227AE2">
            <w:pPr>
              <w:rPr>
                <w:b/>
              </w:rPr>
            </w:pPr>
          </w:p>
        </w:tc>
        <w:tc>
          <w:tcPr>
            <w:tcW w:w="1710" w:type="dxa"/>
          </w:tcPr>
          <w:p w14:paraId="180475BC" w14:textId="77777777" w:rsidR="001B6673" w:rsidRPr="00241809" w:rsidRDefault="001B6673" w:rsidP="00227AE2">
            <w:pPr>
              <w:rPr>
                <w:sz w:val="16"/>
                <w:szCs w:val="16"/>
              </w:rPr>
            </w:pPr>
          </w:p>
        </w:tc>
        <w:tc>
          <w:tcPr>
            <w:tcW w:w="896" w:type="dxa"/>
          </w:tcPr>
          <w:p w14:paraId="7E256411" w14:textId="77777777" w:rsidR="001B6673" w:rsidRPr="00241809" w:rsidRDefault="001B6673" w:rsidP="00227AE2">
            <w:pPr>
              <w:rPr>
                <w:sz w:val="16"/>
                <w:szCs w:val="16"/>
              </w:rPr>
            </w:pPr>
          </w:p>
        </w:tc>
        <w:tc>
          <w:tcPr>
            <w:tcW w:w="1784" w:type="dxa"/>
          </w:tcPr>
          <w:p w14:paraId="7B7CD7E8" w14:textId="77777777" w:rsidR="001B6673" w:rsidRPr="00241809" w:rsidRDefault="001B6673" w:rsidP="00227AE2">
            <w:pPr>
              <w:rPr>
                <w:sz w:val="16"/>
                <w:szCs w:val="16"/>
              </w:rPr>
            </w:pPr>
          </w:p>
        </w:tc>
        <w:tc>
          <w:tcPr>
            <w:tcW w:w="1721" w:type="dxa"/>
          </w:tcPr>
          <w:p w14:paraId="7F73E9AC" w14:textId="77777777" w:rsidR="001B6673" w:rsidRPr="00241809" w:rsidRDefault="001B6673" w:rsidP="00227AE2">
            <w:pPr>
              <w:rPr>
                <w:sz w:val="16"/>
                <w:szCs w:val="16"/>
              </w:rPr>
            </w:pPr>
          </w:p>
        </w:tc>
        <w:tc>
          <w:tcPr>
            <w:tcW w:w="2170" w:type="dxa"/>
          </w:tcPr>
          <w:p w14:paraId="1CD85835" w14:textId="77777777" w:rsidR="001B6673" w:rsidRPr="00241809" w:rsidRDefault="001B6673" w:rsidP="00227AE2">
            <w:pPr>
              <w:rPr>
                <w:sz w:val="16"/>
                <w:szCs w:val="16"/>
              </w:rPr>
            </w:pPr>
          </w:p>
        </w:tc>
      </w:tr>
      <w:tr w:rsidR="001B6673" w14:paraId="79E94799" w14:textId="77777777" w:rsidTr="002E2E62">
        <w:trPr>
          <w:jc w:val="center"/>
        </w:trPr>
        <w:tc>
          <w:tcPr>
            <w:tcW w:w="1925" w:type="dxa"/>
            <w:vMerge w:val="restart"/>
            <w:shd w:val="clear" w:color="auto" w:fill="DDD9C3"/>
          </w:tcPr>
          <w:p w14:paraId="0C115E5D" w14:textId="71F2107D" w:rsidR="001B6673" w:rsidRPr="00C601D0" w:rsidRDefault="001B6673" w:rsidP="00227AE2">
            <w:pPr>
              <w:rPr>
                <w:b/>
              </w:rPr>
            </w:pPr>
            <w:r>
              <w:rPr>
                <w:b/>
              </w:rPr>
              <w:t>Capacité</w:t>
            </w:r>
            <w:r w:rsidR="004A38FC">
              <w:rPr>
                <w:b/>
              </w:rPr>
              <w:t>s</w:t>
            </w:r>
            <w:r>
              <w:rPr>
                <w:b/>
              </w:rPr>
              <w:t xml:space="preserve"> opérationnelle</w:t>
            </w:r>
            <w:r w:rsidR="004A38FC">
              <w:rPr>
                <w:b/>
              </w:rPr>
              <w:t>s</w:t>
            </w:r>
          </w:p>
        </w:tc>
        <w:tc>
          <w:tcPr>
            <w:tcW w:w="1710" w:type="dxa"/>
          </w:tcPr>
          <w:p w14:paraId="115DCB36" w14:textId="77777777" w:rsidR="001B6673" w:rsidRPr="00241809" w:rsidRDefault="001B6673" w:rsidP="00227AE2">
            <w:pPr>
              <w:rPr>
                <w:sz w:val="16"/>
                <w:szCs w:val="16"/>
              </w:rPr>
            </w:pPr>
          </w:p>
        </w:tc>
        <w:tc>
          <w:tcPr>
            <w:tcW w:w="896" w:type="dxa"/>
          </w:tcPr>
          <w:p w14:paraId="56499DA6" w14:textId="77777777" w:rsidR="001B6673" w:rsidRPr="00241809" w:rsidRDefault="001B6673" w:rsidP="00227AE2">
            <w:pPr>
              <w:rPr>
                <w:sz w:val="16"/>
                <w:szCs w:val="16"/>
              </w:rPr>
            </w:pPr>
          </w:p>
        </w:tc>
        <w:tc>
          <w:tcPr>
            <w:tcW w:w="1784" w:type="dxa"/>
          </w:tcPr>
          <w:p w14:paraId="6131CAA3" w14:textId="77777777" w:rsidR="001B6673" w:rsidRPr="00241809" w:rsidRDefault="001B6673" w:rsidP="00227AE2">
            <w:pPr>
              <w:rPr>
                <w:sz w:val="16"/>
                <w:szCs w:val="16"/>
              </w:rPr>
            </w:pPr>
          </w:p>
        </w:tc>
        <w:tc>
          <w:tcPr>
            <w:tcW w:w="1721" w:type="dxa"/>
          </w:tcPr>
          <w:p w14:paraId="4E37A72E" w14:textId="77777777" w:rsidR="001B6673" w:rsidRPr="00241809" w:rsidRDefault="001B6673" w:rsidP="00227AE2">
            <w:pPr>
              <w:rPr>
                <w:sz w:val="16"/>
                <w:szCs w:val="16"/>
              </w:rPr>
            </w:pPr>
          </w:p>
        </w:tc>
        <w:tc>
          <w:tcPr>
            <w:tcW w:w="2170" w:type="dxa"/>
          </w:tcPr>
          <w:p w14:paraId="481572FE" w14:textId="77777777" w:rsidR="001B6673" w:rsidRPr="00241809" w:rsidRDefault="001B6673" w:rsidP="00227AE2">
            <w:pPr>
              <w:rPr>
                <w:sz w:val="16"/>
                <w:szCs w:val="16"/>
              </w:rPr>
            </w:pPr>
          </w:p>
        </w:tc>
      </w:tr>
      <w:tr w:rsidR="001B6673" w14:paraId="5FB57B88" w14:textId="77777777" w:rsidTr="002E2E62">
        <w:trPr>
          <w:jc w:val="center"/>
        </w:trPr>
        <w:tc>
          <w:tcPr>
            <w:tcW w:w="1925" w:type="dxa"/>
            <w:vMerge/>
            <w:shd w:val="clear" w:color="auto" w:fill="DDD9C3"/>
          </w:tcPr>
          <w:p w14:paraId="056CA3CF" w14:textId="77777777" w:rsidR="001B6673" w:rsidRPr="00C601D0" w:rsidRDefault="001B6673" w:rsidP="00227AE2">
            <w:pPr>
              <w:rPr>
                <w:b/>
              </w:rPr>
            </w:pPr>
          </w:p>
        </w:tc>
        <w:tc>
          <w:tcPr>
            <w:tcW w:w="1710" w:type="dxa"/>
          </w:tcPr>
          <w:p w14:paraId="33D4ECFB" w14:textId="77777777" w:rsidR="001B6673" w:rsidRPr="00241809" w:rsidRDefault="001B6673" w:rsidP="00227AE2">
            <w:pPr>
              <w:rPr>
                <w:sz w:val="16"/>
                <w:szCs w:val="16"/>
              </w:rPr>
            </w:pPr>
          </w:p>
        </w:tc>
        <w:tc>
          <w:tcPr>
            <w:tcW w:w="896" w:type="dxa"/>
          </w:tcPr>
          <w:p w14:paraId="0A94162E" w14:textId="77777777" w:rsidR="001B6673" w:rsidRPr="00241809" w:rsidRDefault="001B6673" w:rsidP="00227AE2">
            <w:pPr>
              <w:rPr>
                <w:sz w:val="16"/>
                <w:szCs w:val="16"/>
              </w:rPr>
            </w:pPr>
          </w:p>
        </w:tc>
        <w:tc>
          <w:tcPr>
            <w:tcW w:w="1784" w:type="dxa"/>
          </w:tcPr>
          <w:p w14:paraId="6E2390A4" w14:textId="77777777" w:rsidR="001B6673" w:rsidRPr="00241809" w:rsidRDefault="001B6673" w:rsidP="00227AE2">
            <w:pPr>
              <w:rPr>
                <w:sz w:val="16"/>
                <w:szCs w:val="16"/>
              </w:rPr>
            </w:pPr>
          </w:p>
        </w:tc>
        <w:tc>
          <w:tcPr>
            <w:tcW w:w="1721" w:type="dxa"/>
          </w:tcPr>
          <w:p w14:paraId="6570CAAD" w14:textId="77777777" w:rsidR="001B6673" w:rsidRPr="00241809" w:rsidRDefault="001B6673" w:rsidP="00227AE2">
            <w:pPr>
              <w:rPr>
                <w:sz w:val="16"/>
                <w:szCs w:val="16"/>
              </w:rPr>
            </w:pPr>
          </w:p>
        </w:tc>
        <w:tc>
          <w:tcPr>
            <w:tcW w:w="2170" w:type="dxa"/>
          </w:tcPr>
          <w:p w14:paraId="331C4CA7" w14:textId="77777777" w:rsidR="001B6673" w:rsidRPr="00241809" w:rsidRDefault="001B6673" w:rsidP="00227AE2">
            <w:pPr>
              <w:rPr>
                <w:sz w:val="16"/>
                <w:szCs w:val="16"/>
              </w:rPr>
            </w:pPr>
          </w:p>
        </w:tc>
      </w:tr>
      <w:tr w:rsidR="001B6673" w14:paraId="787699F0" w14:textId="77777777" w:rsidTr="002E2E62">
        <w:trPr>
          <w:jc w:val="center"/>
        </w:trPr>
        <w:tc>
          <w:tcPr>
            <w:tcW w:w="1925" w:type="dxa"/>
            <w:vMerge w:val="restart"/>
            <w:shd w:val="clear" w:color="auto" w:fill="DDD9C3"/>
          </w:tcPr>
          <w:p w14:paraId="5050FA94" w14:textId="31963C2D" w:rsidR="001B6673" w:rsidRPr="00C601D0" w:rsidRDefault="001B6673" w:rsidP="004A38FC">
            <w:pPr>
              <w:rPr>
                <w:b/>
              </w:rPr>
            </w:pPr>
            <w:r>
              <w:rPr>
                <w:b/>
              </w:rPr>
              <w:t xml:space="preserve">Politique, stratégie et </w:t>
            </w:r>
            <w:r w:rsidR="004A38FC">
              <w:rPr>
                <w:b/>
              </w:rPr>
              <w:t>standards</w:t>
            </w:r>
          </w:p>
        </w:tc>
        <w:tc>
          <w:tcPr>
            <w:tcW w:w="1710" w:type="dxa"/>
          </w:tcPr>
          <w:p w14:paraId="4DA9E85D" w14:textId="77777777" w:rsidR="001B6673" w:rsidRPr="00241809" w:rsidRDefault="001B6673" w:rsidP="00227AE2">
            <w:pPr>
              <w:rPr>
                <w:sz w:val="16"/>
                <w:szCs w:val="16"/>
              </w:rPr>
            </w:pPr>
          </w:p>
        </w:tc>
        <w:tc>
          <w:tcPr>
            <w:tcW w:w="896" w:type="dxa"/>
          </w:tcPr>
          <w:p w14:paraId="0A442782" w14:textId="77777777" w:rsidR="001B6673" w:rsidRPr="00241809" w:rsidRDefault="001B6673" w:rsidP="00227AE2">
            <w:pPr>
              <w:rPr>
                <w:sz w:val="16"/>
                <w:szCs w:val="16"/>
              </w:rPr>
            </w:pPr>
          </w:p>
        </w:tc>
        <w:tc>
          <w:tcPr>
            <w:tcW w:w="1784" w:type="dxa"/>
          </w:tcPr>
          <w:p w14:paraId="73AC5308" w14:textId="77777777" w:rsidR="001B6673" w:rsidRPr="00241809" w:rsidRDefault="001B6673" w:rsidP="00227AE2">
            <w:pPr>
              <w:rPr>
                <w:sz w:val="16"/>
                <w:szCs w:val="16"/>
              </w:rPr>
            </w:pPr>
          </w:p>
        </w:tc>
        <w:tc>
          <w:tcPr>
            <w:tcW w:w="1721" w:type="dxa"/>
          </w:tcPr>
          <w:p w14:paraId="34FA4B93" w14:textId="77777777" w:rsidR="001B6673" w:rsidRPr="00241809" w:rsidRDefault="001B6673" w:rsidP="00227AE2">
            <w:pPr>
              <w:rPr>
                <w:sz w:val="16"/>
                <w:szCs w:val="16"/>
              </w:rPr>
            </w:pPr>
          </w:p>
        </w:tc>
        <w:tc>
          <w:tcPr>
            <w:tcW w:w="2170" w:type="dxa"/>
          </w:tcPr>
          <w:p w14:paraId="01320F03" w14:textId="77777777" w:rsidR="001B6673" w:rsidRPr="00241809" w:rsidRDefault="001B6673" w:rsidP="00227AE2">
            <w:pPr>
              <w:rPr>
                <w:sz w:val="16"/>
                <w:szCs w:val="16"/>
              </w:rPr>
            </w:pPr>
          </w:p>
        </w:tc>
      </w:tr>
      <w:tr w:rsidR="001B6673" w14:paraId="2A683FC9" w14:textId="77777777" w:rsidTr="002E2E62">
        <w:trPr>
          <w:jc w:val="center"/>
        </w:trPr>
        <w:tc>
          <w:tcPr>
            <w:tcW w:w="1925" w:type="dxa"/>
            <w:vMerge/>
            <w:shd w:val="clear" w:color="auto" w:fill="DDD9C3"/>
          </w:tcPr>
          <w:p w14:paraId="78FC80B3" w14:textId="77777777" w:rsidR="001B6673" w:rsidRPr="00C601D0" w:rsidRDefault="001B6673" w:rsidP="00227AE2">
            <w:pPr>
              <w:rPr>
                <w:b/>
              </w:rPr>
            </w:pPr>
          </w:p>
        </w:tc>
        <w:tc>
          <w:tcPr>
            <w:tcW w:w="1710" w:type="dxa"/>
          </w:tcPr>
          <w:p w14:paraId="09E249CB" w14:textId="77777777" w:rsidR="001B6673" w:rsidRPr="00241809" w:rsidRDefault="001B6673" w:rsidP="00227AE2">
            <w:pPr>
              <w:rPr>
                <w:sz w:val="16"/>
                <w:szCs w:val="16"/>
              </w:rPr>
            </w:pPr>
          </w:p>
        </w:tc>
        <w:tc>
          <w:tcPr>
            <w:tcW w:w="896" w:type="dxa"/>
          </w:tcPr>
          <w:p w14:paraId="4935A07A" w14:textId="77777777" w:rsidR="001B6673" w:rsidRPr="00241809" w:rsidRDefault="001B6673" w:rsidP="00227AE2">
            <w:pPr>
              <w:rPr>
                <w:sz w:val="16"/>
                <w:szCs w:val="16"/>
              </w:rPr>
            </w:pPr>
          </w:p>
        </w:tc>
        <w:tc>
          <w:tcPr>
            <w:tcW w:w="1784" w:type="dxa"/>
          </w:tcPr>
          <w:p w14:paraId="295A36D9" w14:textId="77777777" w:rsidR="001B6673" w:rsidRPr="00241809" w:rsidRDefault="001B6673" w:rsidP="00227AE2">
            <w:pPr>
              <w:rPr>
                <w:sz w:val="16"/>
                <w:szCs w:val="16"/>
              </w:rPr>
            </w:pPr>
          </w:p>
        </w:tc>
        <w:tc>
          <w:tcPr>
            <w:tcW w:w="1721" w:type="dxa"/>
          </w:tcPr>
          <w:p w14:paraId="04F6E419" w14:textId="77777777" w:rsidR="001B6673" w:rsidRPr="00241809" w:rsidRDefault="001B6673" w:rsidP="00227AE2">
            <w:pPr>
              <w:rPr>
                <w:sz w:val="16"/>
                <w:szCs w:val="16"/>
              </w:rPr>
            </w:pPr>
          </w:p>
        </w:tc>
        <w:tc>
          <w:tcPr>
            <w:tcW w:w="2170" w:type="dxa"/>
          </w:tcPr>
          <w:p w14:paraId="0E994E94" w14:textId="77777777" w:rsidR="001B6673" w:rsidRPr="00241809" w:rsidRDefault="001B6673" w:rsidP="00227AE2">
            <w:pPr>
              <w:rPr>
                <w:sz w:val="16"/>
                <w:szCs w:val="16"/>
              </w:rPr>
            </w:pPr>
          </w:p>
        </w:tc>
      </w:tr>
      <w:tr w:rsidR="001B6673" w14:paraId="5AB463BF" w14:textId="77777777" w:rsidTr="002E2E62">
        <w:trPr>
          <w:jc w:val="center"/>
        </w:trPr>
        <w:tc>
          <w:tcPr>
            <w:tcW w:w="1925" w:type="dxa"/>
            <w:vMerge w:val="restart"/>
            <w:shd w:val="clear" w:color="auto" w:fill="DDD9C3"/>
          </w:tcPr>
          <w:p w14:paraId="7C63C873" w14:textId="77777777" w:rsidR="001B6673" w:rsidRPr="00C601D0" w:rsidRDefault="001B6673" w:rsidP="00227AE2">
            <w:pPr>
              <w:rPr>
                <w:b/>
              </w:rPr>
            </w:pPr>
            <w:r>
              <w:rPr>
                <w:b/>
              </w:rPr>
              <w:t>Soutien aux opérations</w:t>
            </w:r>
          </w:p>
        </w:tc>
        <w:tc>
          <w:tcPr>
            <w:tcW w:w="1710" w:type="dxa"/>
          </w:tcPr>
          <w:p w14:paraId="1B0DDA17" w14:textId="77777777" w:rsidR="001B6673" w:rsidRPr="00241809" w:rsidRDefault="001B6673" w:rsidP="00227AE2">
            <w:pPr>
              <w:rPr>
                <w:sz w:val="16"/>
                <w:szCs w:val="16"/>
              </w:rPr>
            </w:pPr>
          </w:p>
        </w:tc>
        <w:tc>
          <w:tcPr>
            <w:tcW w:w="896" w:type="dxa"/>
          </w:tcPr>
          <w:p w14:paraId="7D7476FF" w14:textId="77777777" w:rsidR="001B6673" w:rsidRPr="00241809" w:rsidRDefault="001B6673" w:rsidP="00227AE2">
            <w:pPr>
              <w:rPr>
                <w:sz w:val="16"/>
                <w:szCs w:val="16"/>
              </w:rPr>
            </w:pPr>
          </w:p>
        </w:tc>
        <w:tc>
          <w:tcPr>
            <w:tcW w:w="1784" w:type="dxa"/>
          </w:tcPr>
          <w:p w14:paraId="78062240" w14:textId="77777777" w:rsidR="001B6673" w:rsidRPr="00241809" w:rsidRDefault="001B6673" w:rsidP="00227AE2">
            <w:pPr>
              <w:rPr>
                <w:sz w:val="16"/>
                <w:szCs w:val="16"/>
              </w:rPr>
            </w:pPr>
          </w:p>
        </w:tc>
        <w:tc>
          <w:tcPr>
            <w:tcW w:w="1721" w:type="dxa"/>
          </w:tcPr>
          <w:p w14:paraId="1E5CD6C8" w14:textId="77777777" w:rsidR="001B6673" w:rsidRPr="00241809" w:rsidRDefault="001B6673" w:rsidP="00227AE2">
            <w:pPr>
              <w:rPr>
                <w:sz w:val="16"/>
                <w:szCs w:val="16"/>
              </w:rPr>
            </w:pPr>
          </w:p>
        </w:tc>
        <w:tc>
          <w:tcPr>
            <w:tcW w:w="2170" w:type="dxa"/>
          </w:tcPr>
          <w:p w14:paraId="6AA86EED" w14:textId="77777777" w:rsidR="001B6673" w:rsidRPr="00241809" w:rsidRDefault="001B6673" w:rsidP="00227AE2">
            <w:pPr>
              <w:rPr>
                <w:sz w:val="16"/>
                <w:szCs w:val="16"/>
              </w:rPr>
            </w:pPr>
          </w:p>
        </w:tc>
      </w:tr>
      <w:tr w:rsidR="001B6673" w14:paraId="368DA6DE" w14:textId="77777777" w:rsidTr="002E2E62">
        <w:trPr>
          <w:jc w:val="center"/>
        </w:trPr>
        <w:tc>
          <w:tcPr>
            <w:tcW w:w="1925" w:type="dxa"/>
            <w:vMerge/>
            <w:shd w:val="clear" w:color="auto" w:fill="DDD9C3"/>
          </w:tcPr>
          <w:p w14:paraId="55637492" w14:textId="77777777" w:rsidR="001B6673" w:rsidRDefault="001B6673" w:rsidP="00227AE2"/>
        </w:tc>
        <w:tc>
          <w:tcPr>
            <w:tcW w:w="1710" w:type="dxa"/>
          </w:tcPr>
          <w:p w14:paraId="637BEB3D" w14:textId="77777777" w:rsidR="001B6673" w:rsidRPr="00241809" w:rsidRDefault="001B6673" w:rsidP="00227AE2">
            <w:pPr>
              <w:rPr>
                <w:sz w:val="16"/>
                <w:szCs w:val="16"/>
              </w:rPr>
            </w:pPr>
          </w:p>
        </w:tc>
        <w:tc>
          <w:tcPr>
            <w:tcW w:w="896" w:type="dxa"/>
          </w:tcPr>
          <w:p w14:paraId="23FC7A13" w14:textId="77777777" w:rsidR="001B6673" w:rsidRPr="00241809" w:rsidRDefault="001B6673" w:rsidP="00227AE2">
            <w:pPr>
              <w:rPr>
                <w:sz w:val="16"/>
                <w:szCs w:val="16"/>
              </w:rPr>
            </w:pPr>
          </w:p>
        </w:tc>
        <w:tc>
          <w:tcPr>
            <w:tcW w:w="1784" w:type="dxa"/>
          </w:tcPr>
          <w:p w14:paraId="27E3E87F" w14:textId="77777777" w:rsidR="001B6673" w:rsidRPr="00241809" w:rsidRDefault="001B6673" w:rsidP="00227AE2">
            <w:pPr>
              <w:rPr>
                <w:sz w:val="16"/>
                <w:szCs w:val="16"/>
              </w:rPr>
            </w:pPr>
          </w:p>
        </w:tc>
        <w:tc>
          <w:tcPr>
            <w:tcW w:w="1721" w:type="dxa"/>
          </w:tcPr>
          <w:p w14:paraId="6D5B0F73" w14:textId="77777777" w:rsidR="001B6673" w:rsidRPr="00241809" w:rsidRDefault="001B6673" w:rsidP="00227AE2">
            <w:pPr>
              <w:rPr>
                <w:sz w:val="16"/>
                <w:szCs w:val="16"/>
              </w:rPr>
            </w:pPr>
          </w:p>
        </w:tc>
        <w:tc>
          <w:tcPr>
            <w:tcW w:w="2170" w:type="dxa"/>
          </w:tcPr>
          <w:p w14:paraId="596C9B46" w14:textId="77777777" w:rsidR="001B6673" w:rsidRPr="00241809" w:rsidRDefault="001B6673" w:rsidP="00227AE2">
            <w:pPr>
              <w:rPr>
                <w:sz w:val="16"/>
                <w:szCs w:val="16"/>
              </w:rPr>
            </w:pPr>
          </w:p>
        </w:tc>
      </w:tr>
    </w:tbl>
    <w:p w14:paraId="734775B3" w14:textId="77777777" w:rsidR="001B6673" w:rsidRDefault="001B6673" w:rsidP="001B6673"/>
    <w:p w14:paraId="177B592D" w14:textId="77777777" w:rsidR="001B6673" w:rsidRDefault="001B6673" w:rsidP="001B6673">
      <w:pPr>
        <w:pStyle w:val="Heading2"/>
      </w:pPr>
      <w:bookmarkStart w:id="20" w:name="_Toc59440499"/>
      <w:r>
        <w:t>Plan de travail du processus de planification d’urgence</w:t>
      </w:r>
      <w:bookmarkEnd w:id="20"/>
    </w:p>
    <w:p w14:paraId="7218E4A4" w14:textId="18EC1CEE" w:rsidR="001B6673" w:rsidRPr="001B6673" w:rsidRDefault="001B6673" w:rsidP="001B6673">
      <w:pPr>
        <w:rPr>
          <w:rFonts w:eastAsiaTheme="minorHAnsi" w:cs="Arial"/>
          <w:bCs/>
          <w:color w:val="auto"/>
          <w:szCs w:val="20"/>
        </w:rPr>
      </w:pPr>
      <w:r>
        <w:rPr>
          <w:bCs/>
          <w:color w:val="auto"/>
          <w:szCs w:val="20"/>
        </w:rPr>
        <w:t xml:space="preserve">Le tableau ci-dessous est une suggestion de format. Cependant, vous pouvez utiliser n’importe quel type de tableau de gestion de projet pour suivre les actions que vous devez entreprendre, définir les indicateurs de progrès et le calendrier. Il n’est pas nécessaire formuler trop d’indicateurs. Assurez-vous simplement qu’ils sont mesurables et réalisables avec les ressources de votre </w:t>
      </w:r>
      <w:r w:rsidR="00711A83">
        <w:rPr>
          <w:bCs/>
          <w:color w:val="auto"/>
          <w:szCs w:val="20"/>
        </w:rPr>
        <w:t>Société nationale</w:t>
      </w:r>
      <w:r>
        <w:rPr>
          <w:bCs/>
          <w:color w:val="auto"/>
          <w:szCs w:val="20"/>
        </w:rPr>
        <w:t>. Ensuite, identifiez les ressources nécessaires et le soutien potentiel.</w:t>
      </w:r>
    </w:p>
    <w:tbl>
      <w:tblPr>
        <w:tblStyle w:val="TableGrid"/>
        <w:tblW w:w="10199" w:type="dxa"/>
        <w:jc w:val="center"/>
        <w:tblLook w:val="04A0" w:firstRow="1" w:lastRow="0" w:firstColumn="1" w:lastColumn="0" w:noHBand="0" w:noVBand="1"/>
      </w:tblPr>
      <w:tblGrid>
        <w:gridCol w:w="1706"/>
        <w:gridCol w:w="777"/>
        <w:gridCol w:w="965"/>
        <w:gridCol w:w="1396"/>
        <w:gridCol w:w="1482"/>
        <w:gridCol w:w="1414"/>
        <w:gridCol w:w="2459"/>
      </w:tblGrid>
      <w:tr w:rsidR="001B6673" w:rsidRPr="00C601D0" w14:paraId="242CFA88" w14:textId="77777777" w:rsidTr="002E2E62">
        <w:trPr>
          <w:jc w:val="center"/>
        </w:trPr>
        <w:tc>
          <w:tcPr>
            <w:tcW w:w="1672" w:type="dxa"/>
            <w:tcBorders>
              <w:top w:val="nil"/>
              <w:left w:val="nil"/>
              <w:bottom w:val="single" w:sz="4" w:space="0" w:color="000000" w:themeColor="text1"/>
              <w:right w:val="single" w:sz="4" w:space="0" w:color="000000" w:themeColor="text1"/>
            </w:tcBorders>
            <w:shd w:val="clear" w:color="auto" w:fill="FFFFFF" w:themeFill="background1"/>
          </w:tcPr>
          <w:p w14:paraId="40086ADA" w14:textId="77777777" w:rsidR="001B6673" w:rsidRPr="00C601D0" w:rsidRDefault="001B6673" w:rsidP="00227AE2">
            <w:pPr>
              <w:jc w:val="both"/>
              <w:rPr>
                <w:rFonts w:eastAsiaTheme="minorHAnsi" w:cs="Arial"/>
                <w:b/>
                <w:bCs/>
                <w:smallCaps/>
                <w:lang w:eastAsia="en-US"/>
              </w:rPr>
            </w:pPr>
          </w:p>
        </w:tc>
        <w:tc>
          <w:tcPr>
            <w:tcW w:w="661" w:type="dxa"/>
            <w:tcBorders>
              <w:left w:val="single" w:sz="4" w:space="0" w:color="000000" w:themeColor="text1"/>
            </w:tcBorders>
            <w:shd w:val="clear" w:color="auto" w:fill="D9D9D9" w:themeFill="background1" w:themeFillShade="D9"/>
          </w:tcPr>
          <w:p w14:paraId="1DF81007" w14:textId="77777777" w:rsidR="001B6673" w:rsidRPr="00C601D0" w:rsidRDefault="001B6673" w:rsidP="00227AE2">
            <w:pPr>
              <w:rPr>
                <w:rFonts w:eastAsiaTheme="minorHAnsi" w:cs="Arial"/>
                <w:b/>
                <w:bCs/>
                <w:smallCaps/>
              </w:rPr>
            </w:pPr>
            <w:r>
              <w:rPr>
                <w:b/>
                <w:bCs/>
                <w:smallCaps/>
              </w:rPr>
              <w:t>Étape</w:t>
            </w:r>
          </w:p>
        </w:tc>
        <w:tc>
          <w:tcPr>
            <w:tcW w:w="965" w:type="dxa"/>
            <w:shd w:val="clear" w:color="auto" w:fill="D9D9D9" w:themeFill="background1" w:themeFillShade="D9"/>
          </w:tcPr>
          <w:p w14:paraId="508BA66C" w14:textId="77777777" w:rsidR="001B6673" w:rsidRPr="00C601D0" w:rsidRDefault="001B6673" w:rsidP="00227AE2">
            <w:pPr>
              <w:jc w:val="both"/>
              <w:rPr>
                <w:rFonts w:eastAsiaTheme="minorHAnsi" w:cs="Arial"/>
                <w:b/>
                <w:bCs/>
                <w:smallCaps/>
              </w:rPr>
            </w:pPr>
            <w:r>
              <w:rPr>
                <w:b/>
                <w:bCs/>
                <w:smallCaps/>
              </w:rPr>
              <w:t>Actions</w:t>
            </w:r>
          </w:p>
        </w:tc>
        <w:tc>
          <w:tcPr>
            <w:tcW w:w="1597" w:type="dxa"/>
            <w:shd w:val="clear" w:color="auto" w:fill="D9D9D9" w:themeFill="background1" w:themeFillShade="D9"/>
          </w:tcPr>
          <w:p w14:paraId="187C5AD3" w14:textId="77777777" w:rsidR="001B6673" w:rsidRPr="00C601D0" w:rsidRDefault="001B6673" w:rsidP="00227AE2">
            <w:pPr>
              <w:jc w:val="both"/>
              <w:rPr>
                <w:rFonts w:eastAsiaTheme="minorHAnsi" w:cs="Arial"/>
                <w:b/>
                <w:bCs/>
                <w:smallCaps/>
              </w:rPr>
            </w:pPr>
            <w:r>
              <w:rPr>
                <w:b/>
                <w:bCs/>
                <w:smallCaps/>
              </w:rPr>
              <w:t>Ressources allouées</w:t>
            </w:r>
          </w:p>
        </w:tc>
        <w:tc>
          <w:tcPr>
            <w:tcW w:w="1604" w:type="dxa"/>
            <w:shd w:val="clear" w:color="auto" w:fill="D9D9D9" w:themeFill="background1" w:themeFillShade="D9"/>
          </w:tcPr>
          <w:p w14:paraId="75B4FF1B" w14:textId="77777777" w:rsidR="001B6673" w:rsidRPr="00C601D0" w:rsidRDefault="001B6673" w:rsidP="00227AE2">
            <w:pPr>
              <w:jc w:val="both"/>
              <w:rPr>
                <w:rFonts w:eastAsiaTheme="minorHAnsi" w:cs="Arial"/>
                <w:b/>
                <w:bCs/>
                <w:smallCaps/>
              </w:rPr>
            </w:pPr>
            <w:r>
              <w:rPr>
                <w:b/>
                <w:bCs/>
                <w:smallCaps/>
              </w:rPr>
              <w:t>Responsable</w:t>
            </w:r>
          </w:p>
        </w:tc>
        <w:tc>
          <w:tcPr>
            <w:tcW w:w="2029" w:type="dxa"/>
            <w:shd w:val="clear" w:color="auto" w:fill="D9D9D9" w:themeFill="background1" w:themeFillShade="D9"/>
          </w:tcPr>
          <w:p w14:paraId="3BABA053" w14:textId="77777777" w:rsidR="001B6673" w:rsidRPr="00C601D0" w:rsidRDefault="001B6673" w:rsidP="00227AE2">
            <w:pPr>
              <w:rPr>
                <w:rFonts w:eastAsiaTheme="minorHAnsi" w:cs="Arial"/>
                <w:b/>
                <w:bCs/>
                <w:smallCaps/>
              </w:rPr>
            </w:pPr>
            <w:r>
              <w:rPr>
                <w:b/>
                <w:bCs/>
                <w:smallCaps/>
              </w:rPr>
              <w:t>Indicateurs de réussite</w:t>
            </w:r>
          </w:p>
        </w:tc>
        <w:tc>
          <w:tcPr>
            <w:tcW w:w="1671" w:type="dxa"/>
            <w:shd w:val="clear" w:color="auto" w:fill="D9D9D9" w:themeFill="background1" w:themeFillShade="D9"/>
          </w:tcPr>
          <w:p w14:paraId="4232712F" w14:textId="77777777" w:rsidR="001B6673" w:rsidRDefault="001B6673" w:rsidP="00227AE2">
            <w:pPr>
              <w:rPr>
                <w:rFonts w:eastAsiaTheme="minorHAnsi" w:cs="Arial"/>
                <w:b/>
                <w:bCs/>
                <w:smallCaps/>
              </w:rPr>
            </w:pPr>
            <w:r>
              <w:rPr>
                <w:b/>
                <w:bCs/>
                <w:smallCaps/>
              </w:rPr>
              <w:t>Échéancier/Programme</w:t>
            </w:r>
          </w:p>
        </w:tc>
      </w:tr>
      <w:tr w:rsidR="001B6673" w14:paraId="72812355" w14:textId="77777777" w:rsidTr="002E2E62">
        <w:trPr>
          <w:jc w:val="center"/>
        </w:trPr>
        <w:tc>
          <w:tcPr>
            <w:tcW w:w="1672" w:type="dxa"/>
            <w:vMerge w:val="restart"/>
            <w:tcBorders>
              <w:top w:val="single" w:sz="4" w:space="0" w:color="000000" w:themeColor="text1"/>
            </w:tcBorders>
            <w:shd w:val="clear" w:color="auto" w:fill="DDD9C3"/>
          </w:tcPr>
          <w:p w14:paraId="6C9400CE" w14:textId="77777777" w:rsidR="001B6673" w:rsidRPr="00C601D0" w:rsidRDefault="001B6673" w:rsidP="00227AE2">
            <w:pPr>
              <w:rPr>
                <w:b/>
              </w:rPr>
            </w:pPr>
            <w:r>
              <w:rPr>
                <w:b/>
              </w:rPr>
              <w:t>Préparation</w:t>
            </w:r>
          </w:p>
        </w:tc>
        <w:tc>
          <w:tcPr>
            <w:tcW w:w="661" w:type="dxa"/>
          </w:tcPr>
          <w:p w14:paraId="04EFD108" w14:textId="77777777" w:rsidR="001B6673" w:rsidRPr="00241809" w:rsidRDefault="001B6673" w:rsidP="00227AE2">
            <w:pPr>
              <w:rPr>
                <w:sz w:val="16"/>
                <w:szCs w:val="16"/>
              </w:rPr>
            </w:pPr>
            <w:r>
              <w:rPr>
                <w:sz w:val="16"/>
                <w:szCs w:val="16"/>
              </w:rPr>
              <w:t>1</w:t>
            </w:r>
          </w:p>
        </w:tc>
        <w:tc>
          <w:tcPr>
            <w:tcW w:w="965" w:type="dxa"/>
          </w:tcPr>
          <w:p w14:paraId="7F32CC7C" w14:textId="77777777" w:rsidR="001B6673" w:rsidRDefault="001B6673" w:rsidP="00227AE2">
            <w:pPr>
              <w:rPr>
                <w:sz w:val="16"/>
                <w:szCs w:val="16"/>
              </w:rPr>
            </w:pPr>
            <w:r>
              <w:rPr>
                <w:sz w:val="16"/>
                <w:szCs w:val="16"/>
              </w:rPr>
              <w:t>1</w:t>
            </w:r>
          </w:p>
          <w:p w14:paraId="5ADBB42C" w14:textId="77777777" w:rsidR="001B6673" w:rsidRDefault="001B6673" w:rsidP="00227AE2">
            <w:pPr>
              <w:rPr>
                <w:sz w:val="16"/>
                <w:szCs w:val="16"/>
              </w:rPr>
            </w:pPr>
            <w:r>
              <w:rPr>
                <w:sz w:val="16"/>
                <w:szCs w:val="16"/>
              </w:rPr>
              <w:t>2</w:t>
            </w:r>
          </w:p>
          <w:p w14:paraId="399BD107" w14:textId="77777777" w:rsidR="001B6673" w:rsidRPr="00241809" w:rsidRDefault="001B6673" w:rsidP="00227AE2">
            <w:pPr>
              <w:rPr>
                <w:sz w:val="16"/>
                <w:szCs w:val="16"/>
              </w:rPr>
            </w:pPr>
            <w:r>
              <w:rPr>
                <w:sz w:val="16"/>
                <w:szCs w:val="16"/>
              </w:rPr>
              <w:t>3</w:t>
            </w:r>
          </w:p>
        </w:tc>
        <w:tc>
          <w:tcPr>
            <w:tcW w:w="1597" w:type="dxa"/>
          </w:tcPr>
          <w:p w14:paraId="29AED99A" w14:textId="77777777" w:rsidR="001B6673" w:rsidRPr="00241809" w:rsidRDefault="001B6673" w:rsidP="00227AE2">
            <w:pPr>
              <w:rPr>
                <w:sz w:val="16"/>
                <w:szCs w:val="16"/>
              </w:rPr>
            </w:pPr>
          </w:p>
        </w:tc>
        <w:tc>
          <w:tcPr>
            <w:tcW w:w="1604" w:type="dxa"/>
          </w:tcPr>
          <w:p w14:paraId="33DEBD8A" w14:textId="77777777" w:rsidR="001B6673" w:rsidRPr="00241809" w:rsidRDefault="001B6673" w:rsidP="00227AE2">
            <w:pPr>
              <w:rPr>
                <w:sz w:val="16"/>
                <w:szCs w:val="16"/>
              </w:rPr>
            </w:pPr>
          </w:p>
        </w:tc>
        <w:tc>
          <w:tcPr>
            <w:tcW w:w="2029" w:type="dxa"/>
          </w:tcPr>
          <w:p w14:paraId="031A33C0" w14:textId="77777777" w:rsidR="001B6673" w:rsidRPr="00241809" w:rsidRDefault="001B6673" w:rsidP="00227AE2">
            <w:pPr>
              <w:rPr>
                <w:sz w:val="16"/>
                <w:szCs w:val="16"/>
              </w:rPr>
            </w:pPr>
          </w:p>
        </w:tc>
        <w:tc>
          <w:tcPr>
            <w:tcW w:w="1671" w:type="dxa"/>
          </w:tcPr>
          <w:p w14:paraId="1F3FED59" w14:textId="77777777" w:rsidR="001B6673" w:rsidRPr="00241809" w:rsidRDefault="001B6673" w:rsidP="00227AE2">
            <w:pPr>
              <w:rPr>
                <w:sz w:val="16"/>
                <w:szCs w:val="16"/>
              </w:rPr>
            </w:pPr>
          </w:p>
        </w:tc>
      </w:tr>
      <w:tr w:rsidR="001B6673" w14:paraId="3FEDF896" w14:textId="77777777" w:rsidTr="002E2E62">
        <w:trPr>
          <w:jc w:val="center"/>
        </w:trPr>
        <w:tc>
          <w:tcPr>
            <w:tcW w:w="1672" w:type="dxa"/>
            <w:vMerge/>
            <w:shd w:val="clear" w:color="auto" w:fill="DDD9C3"/>
          </w:tcPr>
          <w:p w14:paraId="5F3566F8" w14:textId="77777777" w:rsidR="001B6673" w:rsidRPr="00C601D0" w:rsidRDefault="001B6673" w:rsidP="00227AE2">
            <w:pPr>
              <w:rPr>
                <w:b/>
              </w:rPr>
            </w:pPr>
          </w:p>
        </w:tc>
        <w:tc>
          <w:tcPr>
            <w:tcW w:w="661" w:type="dxa"/>
          </w:tcPr>
          <w:p w14:paraId="1EBC11EF" w14:textId="77777777" w:rsidR="001B6673" w:rsidRPr="00241809" w:rsidRDefault="001B6673" w:rsidP="00227AE2">
            <w:pPr>
              <w:rPr>
                <w:sz w:val="16"/>
                <w:szCs w:val="16"/>
              </w:rPr>
            </w:pPr>
            <w:r>
              <w:rPr>
                <w:sz w:val="16"/>
                <w:szCs w:val="16"/>
              </w:rPr>
              <w:t>2…</w:t>
            </w:r>
          </w:p>
        </w:tc>
        <w:tc>
          <w:tcPr>
            <w:tcW w:w="965" w:type="dxa"/>
          </w:tcPr>
          <w:p w14:paraId="3008CF7F" w14:textId="77777777" w:rsidR="001B6673" w:rsidRPr="00241809" w:rsidRDefault="001B6673" w:rsidP="00227AE2">
            <w:pPr>
              <w:rPr>
                <w:sz w:val="16"/>
                <w:szCs w:val="16"/>
              </w:rPr>
            </w:pPr>
          </w:p>
        </w:tc>
        <w:tc>
          <w:tcPr>
            <w:tcW w:w="1597" w:type="dxa"/>
          </w:tcPr>
          <w:p w14:paraId="5D0D1486" w14:textId="77777777" w:rsidR="001B6673" w:rsidRPr="00241809" w:rsidRDefault="001B6673" w:rsidP="00227AE2">
            <w:pPr>
              <w:rPr>
                <w:sz w:val="16"/>
                <w:szCs w:val="16"/>
              </w:rPr>
            </w:pPr>
          </w:p>
        </w:tc>
        <w:tc>
          <w:tcPr>
            <w:tcW w:w="1604" w:type="dxa"/>
          </w:tcPr>
          <w:p w14:paraId="59D94D44" w14:textId="77777777" w:rsidR="001B6673" w:rsidRPr="00241809" w:rsidRDefault="001B6673" w:rsidP="00227AE2">
            <w:pPr>
              <w:rPr>
                <w:sz w:val="16"/>
                <w:szCs w:val="16"/>
              </w:rPr>
            </w:pPr>
          </w:p>
        </w:tc>
        <w:tc>
          <w:tcPr>
            <w:tcW w:w="2029" w:type="dxa"/>
          </w:tcPr>
          <w:p w14:paraId="00761BD3" w14:textId="77777777" w:rsidR="001B6673" w:rsidRPr="00241809" w:rsidRDefault="001B6673" w:rsidP="00227AE2">
            <w:pPr>
              <w:rPr>
                <w:sz w:val="16"/>
                <w:szCs w:val="16"/>
              </w:rPr>
            </w:pPr>
          </w:p>
        </w:tc>
        <w:tc>
          <w:tcPr>
            <w:tcW w:w="1671" w:type="dxa"/>
          </w:tcPr>
          <w:p w14:paraId="4E161344" w14:textId="77777777" w:rsidR="001B6673" w:rsidRPr="00241809" w:rsidRDefault="001B6673" w:rsidP="00227AE2">
            <w:pPr>
              <w:rPr>
                <w:sz w:val="16"/>
                <w:szCs w:val="16"/>
              </w:rPr>
            </w:pPr>
          </w:p>
        </w:tc>
      </w:tr>
      <w:tr w:rsidR="001B6673" w14:paraId="719118F6" w14:textId="77777777" w:rsidTr="002E2E62">
        <w:trPr>
          <w:jc w:val="center"/>
        </w:trPr>
        <w:tc>
          <w:tcPr>
            <w:tcW w:w="1672" w:type="dxa"/>
            <w:vMerge w:val="restart"/>
            <w:tcBorders>
              <w:top w:val="single" w:sz="4" w:space="0" w:color="000000" w:themeColor="text1"/>
            </w:tcBorders>
            <w:shd w:val="clear" w:color="auto" w:fill="DDD9C3"/>
          </w:tcPr>
          <w:p w14:paraId="2766727A" w14:textId="77777777" w:rsidR="001B6673" w:rsidRPr="00C601D0" w:rsidRDefault="001B6673" w:rsidP="00227AE2">
            <w:pPr>
              <w:rPr>
                <w:b/>
              </w:rPr>
            </w:pPr>
            <w:r>
              <w:rPr>
                <w:b/>
              </w:rPr>
              <w:t>Analyse</w:t>
            </w:r>
          </w:p>
        </w:tc>
        <w:tc>
          <w:tcPr>
            <w:tcW w:w="661" w:type="dxa"/>
          </w:tcPr>
          <w:p w14:paraId="20427FF3" w14:textId="77777777" w:rsidR="001B6673" w:rsidRPr="00241809" w:rsidRDefault="001B6673" w:rsidP="00227AE2">
            <w:pPr>
              <w:rPr>
                <w:sz w:val="16"/>
                <w:szCs w:val="16"/>
              </w:rPr>
            </w:pPr>
          </w:p>
        </w:tc>
        <w:tc>
          <w:tcPr>
            <w:tcW w:w="965" w:type="dxa"/>
          </w:tcPr>
          <w:p w14:paraId="323347A6" w14:textId="77777777" w:rsidR="001B6673" w:rsidRPr="00241809" w:rsidRDefault="001B6673" w:rsidP="00227AE2">
            <w:pPr>
              <w:rPr>
                <w:sz w:val="16"/>
                <w:szCs w:val="16"/>
              </w:rPr>
            </w:pPr>
          </w:p>
        </w:tc>
        <w:tc>
          <w:tcPr>
            <w:tcW w:w="1597" w:type="dxa"/>
          </w:tcPr>
          <w:p w14:paraId="745071E2" w14:textId="77777777" w:rsidR="001B6673" w:rsidRPr="00241809" w:rsidRDefault="001B6673" w:rsidP="00227AE2">
            <w:pPr>
              <w:rPr>
                <w:sz w:val="16"/>
                <w:szCs w:val="16"/>
              </w:rPr>
            </w:pPr>
          </w:p>
        </w:tc>
        <w:tc>
          <w:tcPr>
            <w:tcW w:w="1604" w:type="dxa"/>
          </w:tcPr>
          <w:p w14:paraId="4D2DEF59" w14:textId="77777777" w:rsidR="001B6673" w:rsidRPr="00241809" w:rsidRDefault="001B6673" w:rsidP="00227AE2">
            <w:pPr>
              <w:rPr>
                <w:sz w:val="16"/>
                <w:szCs w:val="16"/>
              </w:rPr>
            </w:pPr>
          </w:p>
        </w:tc>
        <w:tc>
          <w:tcPr>
            <w:tcW w:w="2029" w:type="dxa"/>
          </w:tcPr>
          <w:p w14:paraId="76441A19" w14:textId="77777777" w:rsidR="001B6673" w:rsidRPr="00241809" w:rsidRDefault="001B6673" w:rsidP="00227AE2">
            <w:pPr>
              <w:rPr>
                <w:sz w:val="16"/>
                <w:szCs w:val="16"/>
              </w:rPr>
            </w:pPr>
          </w:p>
        </w:tc>
        <w:tc>
          <w:tcPr>
            <w:tcW w:w="1671" w:type="dxa"/>
          </w:tcPr>
          <w:p w14:paraId="2DAA1915" w14:textId="77777777" w:rsidR="001B6673" w:rsidRPr="00241809" w:rsidRDefault="001B6673" w:rsidP="00227AE2">
            <w:pPr>
              <w:rPr>
                <w:sz w:val="16"/>
                <w:szCs w:val="16"/>
              </w:rPr>
            </w:pPr>
          </w:p>
        </w:tc>
      </w:tr>
      <w:tr w:rsidR="001B6673" w14:paraId="15381FF2" w14:textId="77777777" w:rsidTr="002E2E62">
        <w:trPr>
          <w:jc w:val="center"/>
        </w:trPr>
        <w:tc>
          <w:tcPr>
            <w:tcW w:w="1672" w:type="dxa"/>
            <w:vMerge/>
            <w:shd w:val="clear" w:color="auto" w:fill="DDD9C3"/>
          </w:tcPr>
          <w:p w14:paraId="66778981" w14:textId="77777777" w:rsidR="001B6673" w:rsidRPr="00C601D0" w:rsidRDefault="001B6673" w:rsidP="00227AE2">
            <w:pPr>
              <w:rPr>
                <w:b/>
              </w:rPr>
            </w:pPr>
          </w:p>
        </w:tc>
        <w:tc>
          <w:tcPr>
            <w:tcW w:w="661" w:type="dxa"/>
          </w:tcPr>
          <w:p w14:paraId="12E308AF" w14:textId="77777777" w:rsidR="001B6673" w:rsidRPr="00241809" w:rsidRDefault="001B6673" w:rsidP="00227AE2">
            <w:pPr>
              <w:rPr>
                <w:sz w:val="16"/>
                <w:szCs w:val="16"/>
              </w:rPr>
            </w:pPr>
          </w:p>
        </w:tc>
        <w:tc>
          <w:tcPr>
            <w:tcW w:w="965" w:type="dxa"/>
          </w:tcPr>
          <w:p w14:paraId="2AD0EDDA" w14:textId="77777777" w:rsidR="001B6673" w:rsidRPr="00241809" w:rsidRDefault="001B6673" w:rsidP="00227AE2">
            <w:pPr>
              <w:rPr>
                <w:sz w:val="16"/>
                <w:szCs w:val="16"/>
              </w:rPr>
            </w:pPr>
          </w:p>
        </w:tc>
        <w:tc>
          <w:tcPr>
            <w:tcW w:w="1597" w:type="dxa"/>
          </w:tcPr>
          <w:p w14:paraId="2C419A97" w14:textId="77777777" w:rsidR="001B6673" w:rsidRPr="00241809" w:rsidRDefault="001B6673" w:rsidP="00227AE2">
            <w:pPr>
              <w:rPr>
                <w:sz w:val="16"/>
                <w:szCs w:val="16"/>
              </w:rPr>
            </w:pPr>
          </w:p>
        </w:tc>
        <w:tc>
          <w:tcPr>
            <w:tcW w:w="1604" w:type="dxa"/>
          </w:tcPr>
          <w:p w14:paraId="6BD456E3" w14:textId="77777777" w:rsidR="001B6673" w:rsidRPr="00241809" w:rsidRDefault="001B6673" w:rsidP="00227AE2">
            <w:pPr>
              <w:rPr>
                <w:sz w:val="16"/>
                <w:szCs w:val="16"/>
              </w:rPr>
            </w:pPr>
          </w:p>
        </w:tc>
        <w:tc>
          <w:tcPr>
            <w:tcW w:w="2029" w:type="dxa"/>
          </w:tcPr>
          <w:p w14:paraId="4C163FF8" w14:textId="77777777" w:rsidR="001B6673" w:rsidRPr="00241809" w:rsidRDefault="001B6673" w:rsidP="00227AE2">
            <w:pPr>
              <w:rPr>
                <w:sz w:val="16"/>
                <w:szCs w:val="16"/>
              </w:rPr>
            </w:pPr>
          </w:p>
        </w:tc>
        <w:tc>
          <w:tcPr>
            <w:tcW w:w="1671" w:type="dxa"/>
          </w:tcPr>
          <w:p w14:paraId="0CA0F087" w14:textId="77777777" w:rsidR="001B6673" w:rsidRPr="00241809" w:rsidRDefault="001B6673" w:rsidP="00227AE2">
            <w:pPr>
              <w:rPr>
                <w:sz w:val="16"/>
                <w:szCs w:val="16"/>
              </w:rPr>
            </w:pPr>
          </w:p>
        </w:tc>
      </w:tr>
      <w:tr w:rsidR="001B6673" w14:paraId="2CD91399" w14:textId="77777777" w:rsidTr="002E2E62">
        <w:trPr>
          <w:jc w:val="center"/>
        </w:trPr>
        <w:tc>
          <w:tcPr>
            <w:tcW w:w="1672" w:type="dxa"/>
            <w:vMerge w:val="restart"/>
            <w:shd w:val="clear" w:color="auto" w:fill="DDD9C3"/>
          </w:tcPr>
          <w:p w14:paraId="252E4388" w14:textId="77777777" w:rsidR="001B6673" w:rsidRPr="00C601D0" w:rsidRDefault="001B6673" w:rsidP="00227AE2">
            <w:pPr>
              <w:rPr>
                <w:b/>
              </w:rPr>
            </w:pPr>
            <w:r>
              <w:rPr>
                <w:b/>
              </w:rPr>
              <w:t>Développement</w:t>
            </w:r>
          </w:p>
        </w:tc>
        <w:tc>
          <w:tcPr>
            <w:tcW w:w="661" w:type="dxa"/>
          </w:tcPr>
          <w:p w14:paraId="7AE19038" w14:textId="77777777" w:rsidR="001B6673" w:rsidRPr="00241809" w:rsidRDefault="001B6673" w:rsidP="00227AE2">
            <w:pPr>
              <w:rPr>
                <w:sz w:val="16"/>
                <w:szCs w:val="16"/>
              </w:rPr>
            </w:pPr>
          </w:p>
        </w:tc>
        <w:tc>
          <w:tcPr>
            <w:tcW w:w="965" w:type="dxa"/>
          </w:tcPr>
          <w:p w14:paraId="3A66B00D" w14:textId="77777777" w:rsidR="001B6673" w:rsidRPr="00241809" w:rsidRDefault="001B6673" w:rsidP="00227AE2">
            <w:pPr>
              <w:rPr>
                <w:sz w:val="16"/>
                <w:szCs w:val="16"/>
              </w:rPr>
            </w:pPr>
          </w:p>
        </w:tc>
        <w:tc>
          <w:tcPr>
            <w:tcW w:w="1597" w:type="dxa"/>
          </w:tcPr>
          <w:p w14:paraId="107CB85E" w14:textId="77777777" w:rsidR="001B6673" w:rsidRPr="00241809" w:rsidRDefault="001B6673" w:rsidP="00227AE2">
            <w:pPr>
              <w:rPr>
                <w:sz w:val="16"/>
                <w:szCs w:val="16"/>
              </w:rPr>
            </w:pPr>
          </w:p>
        </w:tc>
        <w:tc>
          <w:tcPr>
            <w:tcW w:w="1604" w:type="dxa"/>
          </w:tcPr>
          <w:p w14:paraId="1BB9B93B" w14:textId="77777777" w:rsidR="001B6673" w:rsidRPr="00241809" w:rsidRDefault="001B6673" w:rsidP="00227AE2">
            <w:pPr>
              <w:rPr>
                <w:sz w:val="16"/>
                <w:szCs w:val="16"/>
              </w:rPr>
            </w:pPr>
          </w:p>
        </w:tc>
        <w:tc>
          <w:tcPr>
            <w:tcW w:w="2029" w:type="dxa"/>
          </w:tcPr>
          <w:p w14:paraId="3F03C00F" w14:textId="77777777" w:rsidR="001B6673" w:rsidRPr="00241809" w:rsidRDefault="001B6673" w:rsidP="00227AE2">
            <w:pPr>
              <w:rPr>
                <w:sz w:val="16"/>
                <w:szCs w:val="16"/>
              </w:rPr>
            </w:pPr>
          </w:p>
        </w:tc>
        <w:tc>
          <w:tcPr>
            <w:tcW w:w="1671" w:type="dxa"/>
          </w:tcPr>
          <w:p w14:paraId="0DEBDF10" w14:textId="77777777" w:rsidR="001B6673" w:rsidRPr="00241809" w:rsidRDefault="001B6673" w:rsidP="00227AE2">
            <w:pPr>
              <w:rPr>
                <w:sz w:val="16"/>
                <w:szCs w:val="16"/>
              </w:rPr>
            </w:pPr>
          </w:p>
        </w:tc>
      </w:tr>
      <w:tr w:rsidR="001B6673" w14:paraId="1415DE6B" w14:textId="77777777" w:rsidTr="002E2E62">
        <w:trPr>
          <w:jc w:val="center"/>
        </w:trPr>
        <w:tc>
          <w:tcPr>
            <w:tcW w:w="1672" w:type="dxa"/>
            <w:vMerge/>
            <w:shd w:val="clear" w:color="auto" w:fill="DDD9C3"/>
          </w:tcPr>
          <w:p w14:paraId="1ED1A38F" w14:textId="77777777" w:rsidR="001B6673" w:rsidRPr="00C601D0" w:rsidRDefault="001B6673" w:rsidP="00227AE2">
            <w:pPr>
              <w:rPr>
                <w:b/>
              </w:rPr>
            </w:pPr>
          </w:p>
        </w:tc>
        <w:tc>
          <w:tcPr>
            <w:tcW w:w="661" w:type="dxa"/>
          </w:tcPr>
          <w:p w14:paraId="6B7C69A8" w14:textId="77777777" w:rsidR="001B6673" w:rsidRPr="00241809" w:rsidRDefault="001B6673" w:rsidP="00227AE2">
            <w:pPr>
              <w:rPr>
                <w:sz w:val="16"/>
                <w:szCs w:val="16"/>
              </w:rPr>
            </w:pPr>
          </w:p>
        </w:tc>
        <w:tc>
          <w:tcPr>
            <w:tcW w:w="965" w:type="dxa"/>
          </w:tcPr>
          <w:p w14:paraId="1EEE4187" w14:textId="77777777" w:rsidR="001B6673" w:rsidRPr="00241809" w:rsidRDefault="001B6673" w:rsidP="00227AE2">
            <w:pPr>
              <w:rPr>
                <w:sz w:val="16"/>
                <w:szCs w:val="16"/>
              </w:rPr>
            </w:pPr>
          </w:p>
        </w:tc>
        <w:tc>
          <w:tcPr>
            <w:tcW w:w="1597" w:type="dxa"/>
          </w:tcPr>
          <w:p w14:paraId="3554964F" w14:textId="77777777" w:rsidR="001B6673" w:rsidRPr="00241809" w:rsidRDefault="001B6673" w:rsidP="00227AE2">
            <w:pPr>
              <w:rPr>
                <w:sz w:val="16"/>
                <w:szCs w:val="16"/>
              </w:rPr>
            </w:pPr>
          </w:p>
        </w:tc>
        <w:tc>
          <w:tcPr>
            <w:tcW w:w="1604" w:type="dxa"/>
          </w:tcPr>
          <w:p w14:paraId="09172C5E" w14:textId="77777777" w:rsidR="001B6673" w:rsidRPr="00241809" w:rsidRDefault="001B6673" w:rsidP="00227AE2">
            <w:pPr>
              <w:rPr>
                <w:sz w:val="16"/>
                <w:szCs w:val="16"/>
              </w:rPr>
            </w:pPr>
          </w:p>
        </w:tc>
        <w:tc>
          <w:tcPr>
            <w:tcW w:w="2029" w:type="dxa"/>
          </w:tcPr>
          <w:p w14:paraId="590DD98E" w14:textId="77777777" w:rsidR="001B6673" w:rsidRPr="00241809" w:rsidRDefault="001B6673" w:rsidP="00227AE2">
            <w:pPr>
              <w:rPr>
                <w:sz w:val="16"/>
                <w:szCs w:val="16"/>
              </w:rPr>
            </w:pPr>
          </w:p>
        </w:tc>
        <w:tc>
          <w:tcPr>
            <w:tcW w:w="1671" w:type="dxa"/>
          </w:tcPr>
          <w:p w14:paraId="035FFA66" w14:textId="77777777" w:rsidR="001B6673" w:rsidRPr="00241809" w:rsidRDefault="001B6673" w:rsidP="00227AE2">
            <w:pPr>
              <w:rPr>
                <w:sz w:val="16"/>
                <w:szCs w:val="16"/>
              </w:rPr>
            </w:pPr>
          </w:p>
        </w:tc>
      </w:tr>
      <w:tr w:rsidR="001B6673" w14:paraId="683AB518" w14:textId="77777777" w:rsidTr="002E2E62">
        <w:trPr>
          <w:jc w:val="center"/>
        </w:trPr>
        <w:tc>
          <w:tcPr>
            <w:tcW w:w="1672" w:type="dxa"/>
            <w:vMerge w:val="restart"/>
            <w:shd w:val="clear" w:color="auto" w:fill="DDD9C3"/>
          </w:tcPr>
          <w:p w14:paraId="26026DAA" w14:textId="77777777" w:rsidR="001B6673" w:rsidRPr="00C601D0" w:rsidRDefault="001B6673" w:rsidP="00227AE2">
            <w:pPr>
              <w:rPr>
                <w:b/>
              </w:rPr>
            </w:pPr>
            <w:r>
              <w:rPr>
                <w:b/>
              </w:rPr>
              <w:t>Mise en œuvre</w:t>
            </w:r>
          </w:p>
        </w:tc>
        <w:tc>
          <w:tcPr>
            <w:tcW w:w="661" w:type="dxa"/>
          </w:tcPr>
          <w:p w14:paraId="4635CE7A" w14:textId="77777777" w:rsidR="001B6673" w:rsidRPr="00241809" w:rsidRDefault="001B6673" w:rsidP="00227AE2">
            <w:pPr>
              <w:rPr>
                <w:sz w:val="16"/>
                <w:szCs w:val="16"/>
              </w:rPr>
            </w:pPr>
          </w:p>
        </w:tc>
        <w:tc>
          <w:tcPr>
            <w:tcW w:w="965" w:type="dxa"/>
          </w:tcPr>
          <w:p w14:paraId="193EEF3F" w14:textId="77777777" w:rsidR="001B6673" w:rsidRPr="00241809" w:rsidRDefault="001B6673" w:rsidP="00227AE2">
            <w:pPr>
              <w:rPr>
                <w:sz w:val="16"/>
                <w:szCs w:val="16"/>
              </w:rPr>
            </w:pPr>
          </w:p>
        </w:tc>
        <w:tc>
          <w:tcPr>
            <w:tcW w:w="1597" w:type="dxa"/>
          </w:tcPr>
          <w:p w14:paraId="1E6CFDF5" w14:textId="77777777" w:rsidR="001B6673" w:rsidRPr="00241809" w:rsidRDefault="001B6673" w:rsidP="00227AE2">
            <w:pPr>
              <w:rPr>
                <w:sz w:val="16"/>
                <w:szCs w:val="16"/>
              </w:rPr>
            </w:pPr>
          </w:p>
        </w:tc>
        <w:tc>
          <w:tcPr>
            <w:tcW w:w="1604" w:type="dxa"/>
          </w:tcPr>
          <w:p w14:paraId="56577113" w14:textId="77777777" w:rsidR="001B6673" w:rsidRPr="00241809" w:rsidRDefault="001B6673" w:rsidP="00227AE2">
            <w:pPr>
              <w:rPr>
                <w:sz w:val="16"/>
                <w:szCs w:val="16"/>
              </w:rPr>
            </w:pPr>
          </w:p>
        </w:tc>
        <w:tc>
          <w:tcPr>
            <w:tcW w:w="2029" w:type="dxa"/>
          </w:tcPr>
          <w:p w14:paraId="7399D445" w14:textId="77777777" w:rsidR="001B6673" w:rsidRPr="00241809" w:rsidRDefault="001B6673" w:rsidP="00227AE2">
            <w:pPr>
              <w:rPr>
                <w:sz w:val="16"/>
                <w:szCs w:val="16"/>
              </w:rPr>
            </w:pPr>
          </w:p>
        </w:tc>
        <w:tc>
          <w:tcPr>
            <w:tcW w:w="1671" w:type="dxa"/>
          </w:tcPr>
          <w:p w14:paraId="6F714A42" w14:textId="77777777" w:rsidR="001B6673" w:rsidRPr="00241809" w:rsidRDefault="001B6673" w:rsidP="00227AE2">
            <w:pPr>
              <w:rPr>
                <w:sz w:val="16"/>
                <w:szCs w:val="16"/>
              </w:rPr>
            </w:pPr>
          </w:p>
        </w:tc>
      </w:tr>
      <w:tr w:rsidR="001B6673" w14:paraId="228EFA1E" w14:textId="77777777" w:rsidTr="002E2E62">
        <w:trPr>
          <w:jc w:val="center"/>
        </w:trPr>
        <w:tc>
          <w:tcPr>
            <w:tcW w:w="1672" w:type="dxa"/>
            <w:vMerge/>
            <w:shd w:val="clear" w:color="auto" w:fill="DDD9C3"/>
          </w:tcPr>
          <w:p w14:paraId="2F4241F2" w14:textId="77777777" w:rsidR="001B6673" w:rsidRPr="00C601D0" w:rsidRDefault="001B6673" w:rsidP="00227AE2">
            <w:pPr>
              <w:rPr>
                <w:b/>
              </w:rPr>
            </w:pPr>
          </w:p>
        </w:tc>
        <w:tc>
          <w:tcPr>
            <w:tcW w:w="661" w:type="dxa"/>
          </w:tcPr>
          <w:p w14:paraId="1BE8ADCB" w14:textId="77777777" w:rsidR="001B6673" w:rsidRPr="00241809" w:rsidRDefault="001B6673" w:rsidP="00227AE2">
            <w:pPr>
              <w:rPr>
                <w:sz w:val="16"/>
                <w:szCs w:val="16"/>
              </w:rPr>
            </w:pPr>
          </w:p>
        </w:tc>
        <w:tc>
          <w:tcPr>
            <w:tcW w:w="965" w:type="dxa"/>
          </w:tcPr>
          <w:p w14:paraId="48600629" w14:textId="77777777" w:rsidR="001B6673" w:rsidRPr="00241809" w:rsidRDefault="001B6673" w:rsidP="00227AE2">
            <w:pPr>
              <w:rPr>
                <w:sz w:val="16"/>
                <w:szCs w:val="16"/>
              </w:rPr>
            </w:pPr>
          </w:p>
        </w:tc>
        <w:tc>
          <w:tcPr>
            <w:tcW w:w="1597" w:type="dxa"/>
          </w:tcPr>
          <w:p w14:paraId="26D91C53" w14:textId="77777777" w:rsidR="001B6673" w:rsidRPr="00241809" w:rsidRDefault="001B6673" w:rsidP="00227AE2">
            <w:pPr>
              <w:rPr>
                <w:sz w:val="16"/>
                <w:szCs w:val="16"/>
              </w:rPr>
            </w:pPr>
          </w:p>
        </w:tc>
        <w:tc>
          <w:tcPr>
            <w:tcW w:w="1604" w:type="dxa"/>
          </w:tcPr>
          <w:p w14:paraId="7220764A" w14:textId="77777777" w:rsidR="001B6673" w:rsidRPr="00241809" w:rsidRDefault="001B6673" w:rsidP="00227AE2">
            <w:pPr>
              <w:rPr>
                <w:sz w:val="16"/>
                <w:szCs w:val="16"/>
              </w:rPr>
            </w:pPr>
          </w:p>
        </w:tc>
        <w:tc>
          <w:tcPr>
            <w:tcW w:w="2029" w:type="dxa"/>
          </w:tcPr>
          <w:p w14:paraId="6266E26D" w14:textId="77777777" w:rsidR="001B6673" w:rsidRPr="00241809" w:rsidRDefault="001B6673" w:rsidP="00227AE2">
            <w:pPr>
              <w:rPr>
                <w:sz w:val="16"/>
                <w:szCs w:val="16"/>
              </w:rPr>
            </w:pPr>
          </w:p>
        </w:tc>
        <w:tc>
          <w:tcPr>
            <w:tcW w:w="1671" w:type="dxa"/>
          </w:tcPr>
          <w:p w14:paraId="20095F05" w14:textId="77777777" w:rsidR="001B6673" w:rsidRPr="00241809" w:rsidRDefault="001B6673" w:rsidP="00227AE2">
            <w:pPr>
              <w:rPr>
                <w:sz w:val="16"/>
                <w:szCs w:val="16"/>
              </w:rPr>
            </w:pPr>
          </w:p>
        </w:tc>
      </w:tr>
      <w:tr w:rsidR="001B6673" w14:paraId="5957B95B" w14:textId="77777777" w:rsidTr="002E2E62">
        <w:trPr>
          <w:jc w:val="center"/>
        </w:trPr>
        <w:tc>
          <w:tcPr>
            <w:tcW w:w="1672" w:type="dxa"/>
            <w:shd w:val="clear" w:color="auto" w:fill="DDD9C3"/>
          </w:tcPr>
          <w:p w14:paraId="621E0652" w14:textId="427416EA" w:rsidR="001B6673" w:rsidRPr="00C601D0" w:rsidRDefault="007607D6" w:rsidP="00227AE2">
            <w:pPr>
              <w:rPr>
                <w:b/>
              </w:rPr>
            </w:pPr>
            <w:r>
              <w:rPr>
                <w:b/>
              </w:rPr>
              <w:t>Examen</w:t>
            </w:r>
          </w:p>
        </w:tc>
        <w:tc>
          <w:tcPr>
            <w:tcW w:w="661" w:type="dxa"/>
          </w:tcPr>
          <w:p w14:paraId="34E5652F" w14:textId="77777777" w:rsidR="001B6673" w:rsidRPr="00241809" w:rsidRDefault="001B6673" w:rsidP="00227AE2">
            <w:pPr>
              <w:rPr>
                <w:sz w:val="16"/>
                <w:szCs w:val="16"/>
              </w:rPr>
            </w:pPr>
          </w:p>
        </w:tc>
        <w:tc>
          <w:tcPr>
            <w:tcW w:w="965" w:type="dxa"/>
          </w:tcPr>
          <w:p w14:paraId="5F679D68" w14:textId="77777777" w:rsidR="001B6673" w:rsidRPr="00241809" w:rsidRDefault="001B6673" w:rsidP="00227AE2">
            <w:pPr>
              <w:rPr>
                <w:sz w:val="16"/>
                <w:szCs w:val="16"/>
              </w:rPr>
            </w:pPr>
          </w:p>
        </w:tc>
        <w:tc>
          <w:tcPr>
            <w:tcW w:w="1597" w:type="dxa"/>
          </w:tcPr>
          <w:p w14:paraId="250E76C0" w14:textId="77777777" w:rsidR="001B6673" w:rsidRPr="00241809" w:rsidRDefault="001B6673" w:rsidP="00227AE2">
            <w:pPr>
              <w:rPr>
                <w:sz w:val="16"/>
                <w:szCs w:val="16"/>
              </w:rPr>
            </w:pPr>
          </w:p>
        </w:tc>
        <w:tc>
          <w:tcPr>
            <w:tcW w:w="1604" w:type="dxa"/>
          </w:tcPr>
          <w:p w14:paraId="36EE60AB" w14:textId="77777777" w:rsidR="001B6673" w:rsidRPr="00241809" w:rsidRDefault="001B6673" w:rsidP="00227AE2">
            <w:pPr>
              <w:rPr>
                <w:sz w:val="16"/>
                <w:szCs w:val="16"/>
              </w:rPr>
            </w:pPr>
          </w:p>
        </w:tc>
        <w:tc>
          <w:tcPr>
            <w:tcW w:w="2029" w:type="dxa"/>
          </w:tcPr>
          <w:p w14:paraId="71FF4D72" w14:textId="77777777" w:rsidR="001B6673" w:rsidRPr="00241809" w:rsidRDefault="001B6673" w:rsidP="00227AE2">
            <w:pPr>
              <w:rPr>
                <w:sz w:val="16"/>
                <w:szCs w:val="16"/>
              </w:rPr>
            </w:pPr>
          </w:p>
        </w:tc>
        <w:tc>
          <w:tcPr>
            <w:tcW w:w="1671" w:type="dxa"/>
          </w:tcPr>
          <w:p w14:paraId="6A4AF9A2" w14:textId="77777777" w:rsidR="001B6673" w:rsidRPr="00241809" w:rsidRDefault="001B6673" w:rsidP="00227AE2">
            <w:pPr>
              <w:rPr>
                <w:sz w:val="16"/>
                <w:szCs w:val="16"/>
              </w:rPr>
            </w:pPr>
          </w:p>
        </w:tc>
      </w:tr>
    </w:tbl>
    <w:p w14:paraId="156EBB6B" w14:textId="77777777" w:rsidR="001B6673" w:rsidRPr="004D1243" w:rsidRDefault="001B6673" w:rsidP="001B6673"/>
    <w:p w14:paraId="5418A5CD" w14:textId="741C5A20" w:rsidR="001B6673" w:rsidRPr="00F23339" w:rsidRDefault="00C22622" w:rsidP="001B6673">
      <w:r>
        <w:t xml:space="preserve">Il est crucial de mentionner les ressources affectées et de savoir si la </w:t>
      </w:r>
      <w:r w:rsidR="00711A83">
        <w:t>Société nationale</w:t>
      </w:r>
      <w:r>
        <w:t xml:space="preserve"> dispose des capacités (financement, personnel et compétences) pour mener ce processus de planification d’urgence. Une colonne supplémentaire pourrait être ajoutée si un soutien extérieur est nécessaire.</w:t>
      </w:r>
    </w:p>
    <w:p w14:paraId="509D9093" w14:textId="4EE9606A" w:rsidR="0007234B" w:rsidRPr="0007234B" w:rsidRDefault="0007234B" w:rsidP="0007234B">
      <w:pPr>
        <w:tabs>
          <w:tab w:val="center" w:pos="5046"/>
        </w:tabs>
        <w:sectPr w:rsidR="0007234B" w:rsidRPr="0007234B" w:rsidSect="000B21E2">
          <w:pgSz w:w="11906" w:h="16838" w:code="9"/>
          <w:pgMar w:top="907" w:right="907" w:bottom="907" w:left="907" w:header="924" w:footer="548" w:gutter="0"/>
          <w:cols w:space="720"/>
        </w:sectPr>
      </w:pPr>
      <w:r>
        <w:tab/>
      </w:r>
    </w:p>
    <w:p w14:paraId="69133DB5" w14:textId="5469DFAE" w:rsidR="003E013C" w:rsidRDefault="003E013C" w:rsidP="00E91318">
      <w:pPr>
        <w:pStyle w:val="Heading1"/>
        <w:spacing w:after="0"/>
      </w:pPr>
      <w:bookmarkStart w:id="21" w:name="_Toc59440500"/>
      <w:r>
        <w:lastRenderedPageBreak/>
        <w:t xml:space="preserve">Annexe 2 - Outils de la phase </w:t>
      </w:r>
      <w:r w:rsidR="00654C67">
        <w:t>d’implémentation</w:t>
      </w:r>
      <w:bookmarkEnd w:id="21"/>
    </w:p>
    <w:p w14:paraId="6CA4D082" w14:textId="4ADA1DEB" w:rsidR="003E013C" w:rsidRPr="00973F85" w:rsidRDefault="00E91318" w:rsidP="00E91318">
      <w:pPr>
        <w:pStyle w:val="Heading2"/>
        <w:spacing w:before="360" w:after="0"/>
      </w:pPr>
      <w:bookmarkStart w:id="22" w:name="_Toc59440501"/>
      <w:r>
        <w:rPr>
          <w:noProof/>
          <w:lang w:val="en-GB" w:eastAsia="en-GB"/>
        </w:rPr>
        <w:drawing>
          <wp:anchor distT="0" distB="0" distL="114300" distR="114300" simplePos="0" relativeHeight="251658240" behindDoc="0" locked="0" layoutInCell="1" allowOverlap="1" wp14:anchorId="7A9564EA" wp14:editId="42204821">
            <wp:simplePos x="0" y="0"/>
            <wp:positionH relativeFrom="column">
              <wp:posOffset>5808526</wp:posOffset>
            </wp:positionH>
            <wp:positionV relativeFrom="paragraph">
              <wp:posOffset>104775</wp:posOffset>
            </wp:positionV>
            <wp:extent cx="361315" cy="314960"/>
            <wp:effectExtent l="0" t="0" r="635" b="8890"/>
            <wp:wrapNone/>
            <wp:docPr id="17" name="Picture 84" descr="C:\Users\DMU\Documents\IFRC\PER Archive\Icons PER\PER OCHA icons\Area_2\black_document\9_noun_Preparedness_20139597.png">
              <a:hlinkClick xmlns:a="http://schemas.openxmlformats.org/drawingml/2006/main" r:id="rId15"/>
              <a:extLst xmlns:a="http://schemas.openxmlformats.org/drawingml/2006/main">
                <a:ext uri="{FF2B5EF4-FFF2-40B4-BE49-F238E27FC236}">
                  <a16:creationId xmlns:a16="http://schemas.microsoft.com/office/drawing/2014/main" id="{8E52580F-F289-473F-9C7B-59752FF801FB}"/>
                </a:ext>
              </a:extLst>
            </wp:docPr>
            <wp:cNvGraphicFramePr/>
            <a:graphic xmlns:a="http://schemas.openxmlformats.org/drawingml/2006/main">
              <a:graphicData uri="http://schemas.openxmlformats.org/drawingml/2006/picture">
                <pic:pic xmlns:pic="http://schemas.openxmlformats.org/drawingml/2006/picture">
                  <pic:nvPicPr>
                    <pic:cNvPr id="85" name="Picture 84" descr="C:\Users\DMU\Documents\IFRC\PER Archive\Icons PER\PER OCHA icons\Area_2\black_document\9_noun_Preparedness_20139597.png">
                      <a:extLst>
                        <a:ext uri="{FF2B5EF4-FFF2-40B4-BE49-F238E27FC236}">
                          <a16:creationId xmlns:a16="http://schemas.microsoft.com/office/drawing/2014/main" id="{8E52580F-F289-473F-9C7B-59752FF801FB}"/>
                        </a:ext>
                      </a:extLst>
                    </pic:cNvPr>
                    <pic:cNvPicPr/>
                  </pic:nvPicPr>
                  <pic:blipFill rotWithShape="1">
                    <a:blip r:embed="rId43" cstate="print">
                      <a:extLst>
                        <a:ext uri="{28A0092B-C50C-407E-A947-70E740481C1C}">
                          <a14:useLocalDpi xmlns:a14="http://schemas.microsoft.com/office/drawing/2010/main" val="0"/>
                        </a:ext>
                      </a:extLst>
                    </a:blip>
                    <a:srcRect b="14473"/>
                    <a:stretch/>
                  </pic:blipFill>
                  <pic:spPr bwMode="auto">
                    <a:xfrm>
                      <a:off x="0" y="0"/>
                      <a:ext cx="361315" cy="314960"/>
                    </a:xfrm>
                    <a:prstGeom prst="rect">
                      <a:avLst/>
                    </a:prstGeom>
                    <a:noFill/>
                    <a:ln>
                      <a:noFill/>
                    </a:ln>
                  </pic:spPr>
                </pic:pic>
              </a:graphicData>
            </a:graphic>
          </wp:anchor>
        </w:drawing>
      </w:r>
      <w:r w:rsidR="003E013C">
        <w:t xml:space="preserve">Actions </w:t>
      </w:r>
      <w:r w:rsidR="00654C67">
        <w:t xml:space="preserve">de la </w:t>
      </w:r>
      <w:r w:rsidR="00711A83">
        <w:t>Société nationale</w:t>
      </w:r>
      <w:r w:rsidR="003E013C">
        <w:t xml:space="preserve"> </w:t>
      </w:r>
      <w:r w:rsidR="00865465">
        <w:t xml:space="preserve">pour </w:t>
      </w:r>
      <w:r w:rsidR="00654C67">
        <w:t>être prête à répondre</w:t>
      </w:r>
      <w:bookmarkEnd w:id="22"/>
      <w:r w:rsidR="003E013C">
        <w:t xml:space="preserve"> </w:t>
      </w:r>
    </w:p>
    <w:p w14:paraId="09E00211" w14:textId="371FBC88" w:rsidR="003E013C" w:rsidRPr="00973F85" w:rsidRDefault="003E013C" w:rsidP="00E91318">
      <w:pPr>
        <w:pStyle w:val="Heading3"/>
        <w:spacing w:after="0"/>
        <w:rPr>
          <w:bCs/>
        </w:rPr>
      </w:pPr>
      <w:bookmarkStart w:id="23" w:name="_Toc59440502"/>
      <w:r>
        <w:t>Plan d’action pour la préparation de</w:t>
      </w:r>
      <w:r w:rsidR="00654C67">
        <w:t xml:space="preserve"> la</w:t>
      </w:r>
      <w:r>
        <w:t xml:space="preserve"> </w:t>
      </w:r>
      <w:r w:rsidR="00711A83">
        <w:t>Société nationale</w:t>
      </w:r>
      <w:bookmarkEnd w:id="23"/>
    </w:p>
    <w:p w14:paraId="71BBFCF2" w14:textId="5C6DE6E8" w:rsidR="003E013C" w:rsidRDefault="003E013C" w:rsidP="003E013C">
      <w:r>
        <w:t xml:space="preserve">Cette composante du processus est un mélange d’éléments de planification à court terme qui peuvent être inclus dans le plan lui-même, et de quelques actions à beaucoup plus long terme qui sont réalisées en tant que recommandation du plan. En d’autres termes : que faut-il faire, quand et par qui, pour permettre à votre </w:t>
      </w:r>
      <w:r w:rsidR="00711A83">
        <w:t>Société nationale</w:t>
      </w:r>
      <w:r>
        <w:t xml:space="preserve"> d’anticiper et de réagir conformément au plan </w:t>
      </w:r>
      <w:r w:rsidR="00654C67">
        <w:t xml:space="preserve">de réponse </w:t>
      </w:r>
      <w:r>
        <w:t xml:space="preserve">opérationnel convenu ? </w:t>
      </w:r>
    </w:p>
    <w:p w14:paraId="53E3C7A6" w14:textId="678BF8B8" w:rsidR="003E013C" w:rsidRPr="00973F85" w:rsidRDefault="003E013C" w:rsidP="003E013C">
      <w:pPr>
        <w:rPr>
          <w:rFonts w:ascii="Times New Roman" w:hAnsi="Times New Roman"/>
          <w:sz w:val="24"/>
        </w:rPr>
      </w:pPr>
      <w:r>
        <w:t xml:space="preserve">Par exemple, lors de la phase </w:t>
      </w:r>
      <w:r w:rsidR="00B1386B">
        <w:t xml:space="preserve">de Développement </w:t>
      </w:r>
      <w:r>
        <w:t xml:space="preserve">de votre </w:t>
      </w:r>
      <w:r w:rsidR="00851734">
        <w:t>Plan de Contingence</w:t>
      </w:r>
      <w:r>
        <w:t xml:space="preserve">, vous avez peut-être dressé la liste des procédures opérationnelles standard </w:t>
      </w:r>
      <w:r w:rsidR="00B1386B">
        <w:t xml:space="preserve">(SOPs) </w:t>
      </w:r>
      <w:r>
        <w:t xml:space="preserve">qui doivent être développées/révisées. Veillez à ce que cela fasse partie de votre plan d’action de préparation. Votre tableau des actions de préparation du </w:t>
      </w:r>
      <w:proofErr w:type="spellStart"/>
      <w:r w:rsidR="00B1386B">
        <w:t>PdC</w:t>
      </w:r>
      <w:proofErr w:type="spellEnd"/>
      <w:r w:rsidR="00B1386B">
        <w:t xml:space="preserve"> </w:t>
      </w:r>
      <w:r>
        <w:t xml:space="preserve">(voir le modèle ci-dessous) doit classer les actions les plus urgentes par ordre de priorité afin </w:t>
      </w:r>
      <w:r w:rsidR="00B1386B">
        <w:t xml:space="preserve">permettre </w:t>
      </w:r>
      <w:r>
        <w:t xml:space="preserve">une réponse minimale pour les scénarios identifiés. </w:t>
      </w:r>
    </w:p>
    <w:p w14:paraId="646F0F55" w14:textId="5C28B016" w:rsidR="003E013C" w:rsidRPr="00973F85" w:rsidRDefault="003E013C" w:rsidP="003E013C">
      <w:r>
        <w:t>Regroupez chaque activité de préparation selon les principales rubriques ci-dessous et/ou les secteurs (en fonction de ce qui fonctionne le mieux dans votre contexte). Ces activités de préparation de</w:t>
      </w:r>
      <w:r w:rsidR="00B1386B">
        <w:t xml:space="preserve"> la</w:t>
      </w:r>
      <w:r>
        <w:t xml:space="preserve"> </w:t>
      </w:r>
      <w:r w:rsidR="00711A83">
        <w:t>Société nationale</w:t>
      </w:r>
      <w:r>
        <w:t xml:space="preserve"> doivent soutenir les activités d’action et de réponse précoces identifiées. Intégrez des activités spécifiques liées à des simulations, des exercices sur table pour tester le plan, ainsi que la formation requise par secteur, qui toutes éclairent le plan (ceci pourrait également être repris dans la section des ressources humaines ci-dessous).</w:t>
      </w:r>
    </w:p>
    <w:tbl>
      <w:tblPr>
        <w:tblW w:w="10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682"/>
        <w:gridCol w:w="1708"/>
        <w:gridCol w:w="1528"/>
        <w:gridCol w:w="1566"/>
        <w:gridCol w:w="1252"/>
        <w:gridCol w:w="1350"/>
      </w:tblGrid>
      <w:tr w:rsidR="003E013C" w:rsidRPr="00973F85" w14:paraId="56F820FB" w14:textId="77777777" w:rsidTr="00241F09">
        <w:trPr>
          <w:trHeight w:val="309"/>
          <w:jc w:val="center"/>
        </w:trPr>
        <w:tc>
          <w:tcPr>
            <w:tcW w:w="2682" w:type="dxa"/>
            <w:shd w:val="clear" w:color="auto" w:fill="D9D9D9"/>
            <w:tcMar>
              <w:top w:w="72" w:type="dxa"/>
              <w:left w:w="144" w:type="dxa"/>
              <w:bottom w:w="72" w:type="dxa"/>
              <w:right w:w="144" w:type="dxa"/>
            </w:tcMar>
            <w:hideMark/>
          </w:tcPr>
          <w:p w14:paraId="4CCF290E" w14:textId="0F0234AB"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jc w:val="left"/>
              <w:rPr>
                <w:rFonts w:cs="Arial"/>
                <w:b/>
                <w:bCs/>
                <w:smallCaps/>
                <w:color w:val="auto"/>
                <w:szCs w:val="20"/>
              </w:rPr>
            </w:pPr>
            <w:r>
              <w:rPr>
                <w:b/>
                <w:bCs/>
                <w:smallCaps/>
                <w:color w:val="auto"/>
                <w:szCs w:val="20"/>
              </w:rPr>
              <w:t xml:space="preserve">Actions des </w:t>
            </w:r>
            <w:r w:rsidR="00711A83">
              <w:rPr>
                <w:b/>
                <w:bCs/>
                <w:smallCaps/>
                <w:color w:val="auto"/>
                <w:szCs w:val="20"/>
              </w:rPr>
              <w:t>Société nationale</w:t>
            </w:r>
            <w:r>
              <w:rPr>
                <w:b/>
                <w:bCs/>
                <w:smallCaps/>
                <w:color w:val="auto"/>
                <w:szCs w:val="20"/>
              </w:rPr>
              <w:t xml:space="preserve"> pour la préparation</w:t>
            </w:r>
          </w:p>
        </w:tc>
        <w:tc>
          <w:tcPr>
            <w:tcW w:w="1708" w:type="dxa"/>
            <w:shd w:val="clear" w:color="auto" w:fill="D9D9D9"/>
          </w:tcPr>
          <w:p w14:paraId="4266D8E6"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jc w:val="left"/>
              <w:rPr>
                <w:rFonts w:cs="Arial"/>
                <w:b/>
                <w:bCs/>
                <w:smallCaps/>
                <w:color w:val="auto"/>
                <w:szCs w:val="20"/>
              </w:rPr>
            </w:pPr>
            <w:r>
              <w:rPr>
                <w:b/>
                <w:bCs/>
                <w:smallCaps/>
                <w:color w:val="auto"/>
                <w:szCs w:val="20"/>
              </w:rPr>
              <w:t>Indicateurs de réussite</w:t>
            </w:r>
          </w:p>
        </w:tc>
        <w:tc>
          <w:tcPr>
            <w:tcW w:w="1528" w:type="dxa"/>
            <w:shd w:val="clear" w:color="auto" w:fill="D9D9D9"/>
          </w:tcPr>
          <w:p w14:paraId="7E9BCF16"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jc w:val="left"/>
              <w:rPr>
                <w:rFonts w:cs="Arial"/>
                <w:b/>
                <w:bCs/>
                <w:smallCaps/>
                <w:color w:val="auto"/>
                <w:szCs w:val="20"/>
              </w:rPr>
            </w:pPr>
            <w:r>
              <w:rPr>
                <w:b/>
                <w:bCs/>
                <w:smallCaps/>
                <w:color w:val="auto"/>
                <w:szCs w:val="20"/>
              </w:rPr>
              <w:t>Responsable principal</w:t>
            </w:r>
          </w:p>
        </w:tc>
        <w:tc>
          <w:tcPr>
            <w:tcW w:w="1566" w:type="dxa"/>
            <w:shd w:val="clear" w:color="auto" w:fill="D9D9D9"/>
            <w:tcMar>
              <w:top w:w="72" w:type="dxa"/>
              <w:left w:w="144" w:type="dxa"/>
              <w:bottom w:w="72" w:type="dxa"/>
              <w:right w:w="144" w:type="dxa"/>
            </w:tcMar>
            <w:hideMark/>
          </w:tcPr>
          <w:p w14:paraId="3A646F89"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jc w:val="left"/>
              <w:rPr>
                <w:rFonts w:cs="Arial"/>
                <w:b/>
                <w:bCs/>
                <w:smallCaps/>
                <w:color w:val="auto"/>
                <w:szCs w:val="20"/>
              </w:rPr>
            </w:pPr>
            <w:r>
              <w:rPr>
                <w:b/>
                <w:bCs/>
                <w:smallCaps/>
                <w:color w:val="auto"/>
                <w:szCs w:val="20"/>
              </w:rPr>
              <w:t>Calendrier</w:t>
            </w:r>
          </w:p>
        </w:tc>
        <w:tc>
          <w:tcPr>
            <w:tcW w:w="1252" w:type="dxa"/>
            <w:shd w:val="clear" w:color="auto" w:fill="D9D9D9"/>
            <w:tcMar>
              <w:top w:w="72" w:type="dxa"/>
              <w:left w:w="144" w:type="dxa"/>
              <w:bottom w:w="72" w:type="dxa"/>
              <w:right w:w="144" w:type="dxa"/>
            </w:tcMar>
            <w:hideMark/>
          </w:tcPr>
          <w:p w14:paraId="3A17AE04"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jc w:val="left"/>
              <w:rPr>
                <w:rFonts w:cs="Arial"/>
                <w:b/>
                <w:bCs/>
                <w:smallCaps/>
                <w:color w:val="auto"/>
                <w:szCs w:val="20"/>
              </w:rPr>
            </w:pPr>
            <w:r>
              <w:rPr>
                <w:b/>
                <w:bCs/>
                <w:smallCaps/>
                <w:color w:val="auto"/>
                <w:szCs w:val="20"/>
              </w:rPr>
              <w:t>Budget requis</w:t>
            </w:r>
          </w:p>
        </w:tc>
        <w:tc>
          <w:tcPr>
            <w:tcW w:w="1350" w:type="dxa"/>
            <w:shd w:val="clear" w:color="auto" w:fill="D9D9D9"/>
          </w:tcPr>
          <w:p w14:paraId="397BA1BA"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jc w:val="left"/>
              <w:rPr>
                <w:rFonts w:cs="Arial"/>
                <w:b/>
                <w:bCs/>
                <w:smallCaps/>
                <w:color w:val="auto"/>
                <w:szCs w:val="20"/>
              </w:rPr>
            </w:pPr>
            <w:r>
              <w:rPr>
                <w:b/>
                <w:bCs/>
                <w:smallCaps/>
                <w:color w:val="auto"/>
                <w:szCs w:val="20"/>
              </w:rPr>
              <w:t>Remarques</w:t>
            </w:r>
          </w:p>
        </w:tc>
      </w:tr>
      <w:tr w:rsidR="00227AE2" w:rsidRPr="00973F85" w14:paraId="08D1B9AA" w14:textId="77777777" w:rsidTr="009253AD">
        <w:trPr>
          <w:trHeight w:val="117"/>
          <w:jc w:val="center"/>
        </w:trPr>
        <w:tc>
          <w:tcPr>
            <w:tcW w:w="10086" w:type="dxa"/>
            <w:gridSpan w:val="6"/>
            <w:shd w:val="clear" w:color="auto" w:fill="DDD9C3"/>
          </w:tcPr>
          <w:p w14:paraId="518F7D96" w14:textId="3FB2EDE9"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rPr>
            </w:pPr>
            <w:r>
              <w:rPr>
                <w:bCs/>
                <w:i/>
                <w:sz w:val="18"/>
                <w:szCs w:val="18"/>
              </w:rPr>
              <w:t>Soutien opérationnel en cas de réponse - alerte précoce/action rapide</w:t>
            </w:r>
            <w:r w:rsidRPr="00245418">
              <w:rPr>
                <w:rStyle w:val="FootnoteReference"/>
                <w:rFonts w:cs="Arial"/>
                <w:bCs/>
                <w:i/>
                <w:sz w:val="18"/>
                <w:szCs w:val="18"/>
              </w:rPr>
              <w:footnoteReference w:id="13"/>
            </w:r>
          </w:p>
        </w:tc>
      </w:tr>
      <w:tr w:rsidR="003E013C" w:rsidRPr="00973F85" w14:paraId="6DF3C8AE" w14:textId="77777777" w:rsidTr="00241F09">
        <w:trPr>
          <w:trHeight w:val="116"/>
          <w:jc w:val="center"/>
        </w:trPr>
        <w:tc>
          <w:tcPr>
            <w:tcW w:w="2682" w:type="dxa"/>
            <w:shd w:val="clear" w:color="auto" w:fill="FFFFFF"/>
            <w:tcMar>
              <w:top w:w="72" w:type="dxa"/>
              <w:left w:w="144" w:type="dxa"/>
              <w:bottom w:w="72" w:type="dxa"/>
              <w:right w:w="144" w:type="dxa"/>
            </w:tcMar>
            <w:hideMark/>
          </w:tcPr>
          <w:p w14:paraId="70CC5DE3" w14:textId="77777777" w:rsidR="003E013C" w:rsidRPr="00245418" w:rsidRDefault="003E013C" w:rsidP="00227AE2">
            <w:pPr>
              <w:spacing w:after="0"/>
              <w:rPr>
                <w:rFonts w:cs="Arial"/>
                <w:bCs/>
                <w:sz w:val="16"/>
                <w:szCs w:val="16"/>
              </w:rPr>
            </w:pPr>
            <w:r>
              <w:rPr>
                <w:bCs/>
                <w:sz w:val="16"/>
                <w:szCs w:val="16"/>
              </w:rPr>
              <w:t>Activité 1 - Activité principale</w:t>
            </w:r>
          </w:p>
          <w:p w14:paraId="6B3AB0F8" w14:textId="77777777" w:rsidR="003E013C" w:rsidRDefault="003E013C" w:rsidP="00227AE2">
            <w:pPr>
              <w:spacing w:after="0"/>
              <w:rPr>
                <w:rFonts w:cs="Arial"/>
                <w:bCs/>
                <w:sz w:val="16"/>
                <w:szCs w:val="16"/>
              </w:rPr>
            </w:pPr>
            <w:r>
              <w:rPr>
                <w:bCs/>
                <w:sz w:val="16"/>
                <w:szCs w:val="16"/>
              </w:rPr>
              <w:t>Activité 2 - ....</w:t>
            </w:r>
          </w:p>
          <w:p w14:paraId="45A3FC53"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jc w:val="left"/>
              <w:rPr>
                <w:rFonts w:cs="Arial"/>
                <w:bCs/>
                <w:color w:val="auto"/>
                <w:sz w:val="18"/>
                <w:szCs w:val="18"/>
              </w:rPr>
            </w:pPr>
            <w:r>
              <w:rPr>
                <w:bCs/>
                <w:sz w:val="16"/>
                <w:szCs w:val="16"/>
              </w:rPr>
              <w:t>Cette section peut comprendre des actions de préparation.</w:t>
            </w:r>
          </w:p>
        </w:tc>
        <w:tc>
          <w:tcPr>
            <w:tcW w:w="1708" w:type="dxa"/>
            <w:shd w:val="clear" w:color="auto" w:fill="FFFFFF"/>
          </w:tcPr>
          <w:p w14:paraId="3F13DB16"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528" w:type="dxa"/>
            <w:shd w:val="clear" w:color="auto" w:fill="FFFFFF"/>
          </w:tcPr>
          <w:p w14:paraId="77C8BA26"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566" w:type="dxa"/>
            <w:shd w:val="clear" w:color="auto" w:fill="FFFFFF"/>
            <w:tcMar>
              <w:top w:w="72" w:type="dxa"/>
              <w:left w:w="144" w:type="dxa"/>
              <w:bottom w:w="72" w:type="dxa"/>
              <w:right w:w="144" w:type="dxa"/>
            </w:tcMar>
            <w:hideMark/>
          </w:tcPr>
          <w:p w14:paraId="6A9A37DE"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252" w:type="dxa"/>
            <w:shd w:val="clear" w:color="auto" w:fill="FFFFFF"/>
            <w:tcMar>
              <w:top w:w="72" w:type="dxa"/>
              <w:left w:w="144" w:type="dxa"/>
              <w:bottom w:w="72" w:type="dxa"/>
              <w:right w:w="144" w:type="dxa"/>
            </w:tcMar>
            <w:hideMark/>
          </w:tcPr>
          <w:p w14:paraId="395E276D"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350" w:type="dxa"/>
            <w:shd w:val="clear" w:color="auto" w:fill="FFFFFF"/>
          </w:tcPr>
          <w:p w14:paraId="6C1B4A06"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r>
      <w:tr w:rsidR="00227AE2" w:rsidRPr="00973F85" w14:paraId="2CBD4017" w14:textId="77777777" w:rsidTr="009253AD">
        <w:trPr>
          <w:trHeight w:val="186"/>
          <w:jc w:val="center"/>
        </w:trPr>
        <w:tc>
          <w:tcPr>
            <w:tcW w:w="10086" w:type="dxa"/>
            <w:gridSpan w:val="6"/>
            <w:shd w:val="clear" w:color="auto" w:fill="DDD9C3"/>
          </w:tcPr>
          <w:p w14:paraId="4967C354" w14:textId="070DDD49" w:rsidR="00227AE2" w:rsidRPr="00973F85" w:rsidRDefault="00C22622" w:rsidP="00C2262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rPr>
            </w:pPr>
            <w:r>
              <w:rPr>
                <w:bCs/>
                <w:i/>
                <w:sz w:val="18"/>
                <w:szCs w:val="18"/>
              </w:rPr>
              <w:t xml:space="preserve">Secteurs techniques - alerte précoce - actions précoces selon l’intervention prévue </w:t>
            </w:r>
          </w:p>
        </w:tc>
      </w:tr>
      <w:tr w:rsidR="003E013C" w:rsidRPr="00973F85" w14:paraId="40E9E549" w14:textId="77777777" w:rsidTr="00241F09">
        <w:trPr>
          <w:trHeight w:val="364"/>
          <w:jc w:val="center"/>
        </w:trPr>
        <w:tc>
          <w:tcPr>
            <w:tcW w:w="2682" w:type="dxa"/>
            <w:shd w:val="clear" w:color="auto" w:fill="FFFFFF"/>
            <w:tcMar>
              <w:top w:w="72" w:type="dxa"/>
              <w:left w:w="144" w:type="dxa"/>
              <w:bottom w:w="72" w:type="dxa"/>
              <w:right w:w="144" w:type="dxa"/>
            </w:tcMar>
          </w:tcPr>
          <w:p w14:paraId="73506C46" w14:textId="77777777" w:rsidR="003E013C" w:rsidRDefault="003E013C" w:rsidP="00227AE2">
            <w:pPr>
              <w:spacing w:after="0"/>
              <w:rPr>
                <w:rFonts w:cs="Arial"/>
                <w:bCs/>
                <w:sz w:val="16"/>
                <w:szCs w:val="16"/>
              </w:rPr>
            </w:pPr>
            <w:r>
              <w:rPr>
                <w:bCs/>
                <w:sz w:val="16"/>
                <w:szCs w:val="16"/>
              </w:rPr>
              <w:t xml:space="preserve">Activité 1 - Activité 2... </w:t>
            </w:r>
          </w:p>
          <w:p w14:paraId="6F56A2ED" w14:textId="2C1863A5" w:rsidR="003E013C" w:rsidRPr="00973F85" w:rsidRDefault="003E013C" w:rsidP="00B1386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cs="Arial"/>
                <w:i/>
                <w:color w:val="auto"/>
                <w:sz w:val="18"/>
                <w:szCs w:val="18"/>
              </w:rPr>
            </w:pPr>
            <w:r>
              <w:rPr>
                <w:bCs/>
                <w:sz w:val="16"/>
                <w:szCs w:val="16"/>
              </w:rPr>
              <w:t>Liste</w:t>
            </w:r>
            <w:r w:rsidR="00B1386B">
              <w:rPr>
                <w:bCs/>
                <w:sz w:val="16"/>
                <w:szCs w:val="16"/>
              </w:rPr>
              <w:t>z</w:t>
            </w:r>
            <w:r>
              <w:rPr>
                <w:bCs/>
                <w:sz w:val="16"/>
                <w:szCs w:val="16"/>
              </w:rPr>
              <w:t xml:space="preserve"> des alertes précoces/actions précoces spécifiques prises par secteur. Se référer à :</w:t>
            </w:r>
            <w:r>
              <w:rPr>
                <w:bCs/>
                <w:color w:val="auto"/>
                <w:sz w:val="16"/>
                <w:szCs w:val="16"/>
              </w:rPr>
              <w:t xml:space="preserve"> </w:t>
            </w:r>
            <w:r w:rsidRPr="00292702">
              <w:rPr>
                <w:rStyle w:val="FootnoteReference"/>
                <w:rFonts w:cs="Arial"/>
                <w:bCs/>
                <w:color w:val="0000FF"/>
                <w:sz w:val="16"/>
                <w:szCs w:val="16"/>
                <w:u w:val="single"/>
              </w:rPr>
              <w:footnoteReference w:id="14"/>
            </w:r>
            <w:r>
              <w:t xml:space="preserve"> </w:t>
            </w:r>
            <w:hyperlink r:id="rId44" w:history="1">
              <w:r>
                <w:rPr>
                  <w:rStyle w:val="Hyperlink"/>
                  <w:bCs/>
                  <w:color w:val="0000FF"/>
                  <w:sz w:val="16"/>
                  <w:szCs w:val="16"/>
                </w:rPr>
                <w:t xml:space="preserve">Action </w:t>
              </w:r>
              <w:r w:rsidR="00B1386B">
                <w:rPr>
                  <w:rStyle w:val="Hyperlink"/>
                  <w:bCs/>
                  <w:color w:val="0000FF"/>
                  <w:sz w:val="16"/>
                  <w:szCs w:val="16"/>
                </w:rPr>
                <w:t xml:space="preserve">fondée </w:t>
              </w:r>
              <w:r>
                <w:rPr>
                  <w:rStyle w:val="Hyperlink"/>
                  <w:bCs/>
                  <w:color w:val="0000FF"/>
                  <w:sz w:val="16"/>
                  <w:szCs w:val="16"/>
                </w:rPr>
                <w:t>sur les prévisions</w:t>
              </w:r>
            </w:hyperlink>
            <w:r w:rsidR="00B1386B">
              <w:rPr>
                <w:rStyle w:val="Hyperlink"/>
                <w:bCs/>
                <w:color w:val="0000FF"/>
                <w:sz w:val="16"/>
                <w:szCs w:val="16"/>
              </w:rPr>
              <w:t xml:space="preserve"> (</w:t>
            </w:r>
            <w:proofErr w:type="spellStart"/>
            <w:r w:rsidR="00B1386B">
              <w:rPr>
                <w:rStyle w:val="Hyperlink"/>
                <w:bCs/>
                <w:color w:val="0000FF"/>
                <w:sz w:val="16"/>
                <w:szCs w:val="16"/>
              </w:rPr>
              <w:t>FbF</w:t>
            </w:r>
            <w:proofErr w:type="spellEnd"/>
            <w:r w:rsidR="00B1386B">
              <w:rPr>
                <w:rStyle w:val="Hyperlink"/>
                <w:bCs/>
                <w:color w:val="0000FF"/>
                <w:sz w:val="16"/>
                <w:szCs w:val="16"/>
              </w:rPr>
              <w:t>)</w:t>
            </w:r>
          </w:p>
        </w:tc>
        <w:tc>
          <w:tcPr>
            <w:tcW w:w="1708" w:type="dxa"/>
            <w:shd w:val="clear" w:color="auto" w:fill="FFFFFF"/>
          </w:tcPr>
          <w:p w14:paraId="69B554B5"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p>
        </w:tc>
        <w:tc>
          <w:tcPr>
            <w:tcW w:w="1528" w:type="dxa"/>
            <w:shd w:val="clear" w:color="auto" w:fill="FFFFFF"/>
          </w:tcPr>
          <w:p w14:paraId="6C7F9245"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p>
        </w:tc>
        <w:tc>
          <w:tcPr>
            <w:tcW w:w="1566" w:type="dxa"/>
            <w:shd w:val="clear" w:color="auto" w:fill="FFFFFF"/>
            <w:tcMar>
              <w:top w:w="72" w:type="dxa"/>
              <w:left w:w="144" w:type="dxa"/>
              <w:bottom w:w="72" w:type="dxa"/>
              <w:right w:w="144" w:type="dxa"/>
            </w:tcMar>
          </w:tcPr>
          <w:p w14:paraId="751B5E32"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p>
        </w:tc>
        <w:tc>
          <w:tcPr>
            <w:tcW w:w="1252" w:type="dxa"/>
            <w:shd w:val="clear" w:color="auto" w:fill="FFFFFF"/>
            <w:tcMar>
              <w:top w:w="72" w:type="dxa"/>
              <w:left w:w="144" w:type="dxa"/>
              <w:bottom w:w="72" w:type="dxa"/>
              <w:right w:w="144" w:type="dxa"/>
            </w:tcMar>
          </w:tcPr>
          <w:p w14:paraId="35F98B31"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p>
        </w:tc>
        <w:tc>
          <w:tcPr>
            <w:tcW w:w="1350" w:type="dxa"/>
            <w:shd w:val="clear" w:color="auto" w:fill="FFFFFF"/>
          </w:tcPr>
          <w:p w14:paraId="415DA759"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p>
        </w:tc>
      </w:tr>
      <w:tr w:rsidR="00227AE2" w:rsidRPr="00973F85" w14:paraId="407B2ED5" w14:textId="77777777" w:rsidTr="009253AD">
        <w:trPr>
          <w:trHeight w:val="117"/>
          <w:jc w:val="center"/>
        </w:trPr>
        <w:tc>
          <w:tcPr>
            <w:tcW w:w="10086" w:type="dxa"/>
            <w:gridSpan w:val="6"/>
            <w:shd w:val="clear" w:color="auto" w:fill="DDD9C3"/>
          </w:tcPr>
          <w:p w14:paraId="7D36F5A8" w14:textId="6C1B3E21"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rPr>
            </w:pPr>
            <w:r>
              <w:rPr>
                <w:bCs/>
                <w:i/>
                <w:color w:val="auto"/>
                <w:sz w:val="18"/>
                <w:szCs w:val="18"/>
              </w:rPr>
              <w:t>Structure et gestion</w:t>
            </w:r>
          </w:p>
        </w:tc>
      </w:tr>
      <w:tr w:rsidR="003E013C" w:rsidRPr="00973F85" w14:paraId="34E1A405" w14:textId="77777777" w:rsidTr="00241F09">
        <w:trPr>
          <w:trHeight w:val="116"/>
          <w:jc w:val="center"/>
        </w:trPr>
        <w:tc>
          <w:tcPr>
            <w:tcW w:w="2682" w:type="dxa"/>
            <w:shd w:val="clear" w:color="auto" w:fill="FFFFFF"/>
            <w:tcMar>
              <w:top w:w="72" w:type="dxa"/>
              <w:left w:w="144" w:type="dxa"/>
              <w:bottom w:w="72" w:type="dxa"/>
              <w:right w:w="144" w:type="dxa"/>
            </w:tcMar>
            <w:hideMark/>
          </w:tcPr>
          <w:p w14:paraId="50C08482"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708" w:type="dxa"/>
            <w:shd w:val="clear" w:color="auto" w:fill="FFFFFF"/>
          </w:tcPr>
          <w:p w14:paraId="04A854FC"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528" w:type="dxa"/>
            <w:shd w:val="clear" w:color="auto" w:fill="FFFFFF"/>
          </w:tcPr>
          <w:p w14:paraId="48D0EE49"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566" w:type="dxa"/>
            <w:shd w:val="clear" w:color="auto" w:fill="FFFFFF"/>
            <w:tcMar>
              <w:top w:w="72" w:type="dxa"/>
              <w:left w:w="144" w:type="dxa"/>
              <w:bottom w:w="72" w:type="dxa"/>
              <w:right w:w="144" w:type="dxa"/>
            </w:tcMar>
            <w:hideMark/>
          </w:tcPr>
          <w:p w14:paraId="12523CD7"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252" w:type="dxa"/>
            <w:shd w:val="clear" w:color="auto" w:fill="FFFFFF"/>
            <w:tcMar>
              <w:top w:w="72" w:type="dxa"/>
              <w:left w:w="144" w:type="dxa"/>
              <w:bottom w:w="72" w:type="dxa"/>
              <w:right w:w="144" w:type="dxa"/>
            </w:tcMar>
            <w:hideMark/>
          </w:tcPr>
          <w:p w14:paraId="77F4C12B"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350" w:type="dxa"/>
            <w:shd w:val="clear" w:color="auto" w:fill="FFFFFF"/>
          </w:tcPr>
          <w:p w14:paraId="03A39040"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r>
      <w:tr w:rsidR="00227AE2" w:rsidRPr="00973F85" w14:paraId="77BB6A5F" w14:textId="77777777" w:rsidTr="009253AD">
        <w:trPr>
          <w:trHeight w:val="186"/>
          <w:jc w:val="center"/>
        </w:trPr>
        <w:tc>
          <w:tcPr>
            <w:tcW w:w="10086" w:type="dxa"/>
            <w:gridSpan w:val="6"/>
            <w:shd w:val="clear" w:color="auto" w:fill="DDD9C3"/>
          </w:tcPr>
          <w:p w14:paraId="6713A55A" w14:textId="094D276B" w:rsidR="00227AE2" w:rsidRPr="00973F85" w:rsidRDefault="00227AE2" w:rsidP="00B1386B">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rPr>
            </w:pPr>
            <w:r>
              <w:rPr>
                <w:bCs/>
                <w:i/>
                <w:color w:val="auto"/>
                <w:sz w:val="18"/>
                <w:szCs w:val="18"/>
              </w:rPr>
              <w:t xml:space="preserve">Planification et soutien opérationnel (y compris les sous-rubriques pour chaque secteur technique et unité de </w:t>
            </w:r>
            <w:r w:rsidR="00B1386B">
              <w:rPr>
                <w:bCs/>
                <w:i/>
                <w:color w:val="auto"/>
                <w:sz w:val="18"/>
                <w:szCs w:val="18"/>
              </w:rPr>
              <w:t>support</w:t>
            </w:r>
            <w:r>
              <w:rPr>
                <w:bCs/>
                <w:i/>
                <w:color w:val="auto"/>
                <w:sz w:val="18"/>
                <w:szCs w:val="18"/>
              </w:rPr>
              <w:t>)</w:t>
            </w:r>
          </w:p>
        </w:tc>
      </w:tr>
      <w:tr w:rsidR="003E013C" w:rsidRPr="00973F85" w14:paraId="56ACD65D" w14:textId="77777777" w:rsidTr="00241F09">
        <w:trPr>
          <w:trHeight w:val="364"/>
          <w:jc w:val="center"/>
        </w:trPr>
        <w:tc>
          <w:tcPr>
            <w:tcW w:w="2682" w:type="dxa"/>
            <w:shd w:val="clear" w:color="auto" w:fill="FFFFFF"/>
            <w:tcMar>
              <w:top w:w="72" w:type="dxa"/>
              <w:left w:w="144" w:type="dxa"/>
              <w:bottom w:w="72" w:type="dxa"/>
              <w:right w:w="144" w:type="dxa"/>
            </w:tcMar>
          </w:tcPr>
          <w:p w14:paraId="6BECC84D"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cs="Arial"/>
                <w:i/>
                <w:color w:val="auto"/>
                <w:sz w:val="18"/>
                <w:szCs w:val="18"/>
                <w:lang w:eastAsia="en-US"/>
              </w:rPr>
            </w:pPr>
          </w:p>
        </w:tc>
        <w:tc>
          <w:tcPr>
            <w:tcW w:w="1708" w:type="dxa"/>
            <w:shd w:val="clear" w:color="auto" w:fill="FFFFFF"/>
          </w:tcPr>
          <w:p w14:paraId="75CD33AC"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p>
        </w:tc>
        <w:tc>
          <w:tcPr>
            <w:tcW w:w="1528" w:type="dxa"/>
            <w:shd w:val="clear" w:color="auto" w:fill="FFFFFF"/>
          </w:tcPr>
          <w:p w14:paraId="5C443782"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p>
        </w:tc>
        <w:tc>
          <w:tcPr>
            <w:tcW w:w="1566" w:type="dxa"/>
            <w:shd w:val="clear" w:color="auto" w:fill="FFFFFF"/>
            <w:tcMar>
              <w:top w:w="72" w:type="dxa"/>
              <w:left w:w="144" w:type="dxa"/>
              <w:bottom w:w="72" w:type="dxa"/>
              <w:right w:w="144" w:type="dxa"/>
            </w:tcMar>
          </w:tcPr>
          <w:p w14:paraId="401250F7"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p>
        </w:tc>
        <w:tc>
          <w:tcPr>
            <w:tcW w:w="1252" w:type="dxa"/>
            <w:shd w:val="clear" w:color="auto" w:fill="FFFFFF"/>
            <w:tcMar>
              <w:top w:w="72" w:type="dxa"/>
              <w:left w:w="144" w:type="dxa"/>
              <w:bottom w:w="72" w:type="dxa"/>
              <w:right w:w="144" w:type="dxa"/>
            </w:tcMar>
          </w:tcPr>
          <w:p w14:paraId="19B8EC4C"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p>
        </w:tc>
        <w:tc>
          <w:tcPr>
            <w:tcW w:w="1350" w:type="dxa"/>
            <w:shd w:val="clear" w:color="auto" w:fill="FFFFFF"/>
          </w:tcPr>
          <w:p w14:paraId="664DEDE8"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p>
        </w:tc>
      </w:tr>
      <w:tr w:rsidR="00227AE2" w:rsidRPr="00973F85" w14:paraId="3878ABC3" w14:textId="77777777" w:rsidTr="009253AD">
        <w:trPr>
          <w:trHeight w:val="114"/>
          <w:jc w:val="center"/>
        </w:trPr>
        <w:tc>
          <w:tcPr>
            <w:tcW w:w="10086" w:type="dxa"/>
            <w:gridSpan w:val="6"/>
            <w:shd w:val="clear" w:color="auto" w:fill="DDD9C3"/>
          </w:tcPr>
          <w:p w14:paraId="4275B39F" w14:textId="1D0941F5"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rPr>
            </w:pPr>
            <w:r>
              <w:rPr>
                <w:bCs/>
                <w:i/>
                <w:color w:val="auto"/>
                <w:sz w:val="18"/>
                <w:szCs w:val="18"/>
              </w:rPr>
              <w:t>Information et rapports</w:t>
            </w:r>
          </w:p>
        </w:tc>
      </w:tr>
      <w:tr w:rsidR="003E013C" w:rsidRPr="00973F85" w14:paraId="1958CF1D" w14:textId="77777777" w:rsidTr="00241F09">
        <w:trPr>
          <w:trHeight w:val="364"/>
          <w:jc w:val="center"/>
        </w:trPr>
        <w:tc>
          <w:tcPr>
            <w:tcW w:w="2682" w:type="dxa"/>
            <w:shd w:val="clear" w:color="auto" w:fill="FFFFFF"/>
            <w:tcMar>
              <w:top w:w="72" w:type="dxa"/>
              <w:left w:w="144" w:type="dxa"/>
              <w:bottom w:w="72" w:type="dxa"/>
              <w:right w:w="144" w:type="dxa"/>
            </w:tcMar>
            <w:hideMark/>
          </w:tcPr>
          <w:p w14:paraId="086218E2"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708" w:type="dxa"/>
            <w:shd w:val="clear" w:color="auto" w:fill="FFFFFF"/>
          </w:tcPr>
          <w:p w14:paraId="36613CB1"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528" w:type="dxa"/>
            <w:shd w:val="clear" w:color="auto" w:fill="FFFFFF"/>
          </w:tcPr>
          <w:p w14:paraId="4B621AAE"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566" w:type="dxa"/>
            <w:shd w:val="clear" w:color="auto" w:fill="FFFFFF"/>
            <w:tcMar>
              <w:top w:w="72" w:type="dxa"/>
              <w:left w:w="144" w:type="dxa"/>
              <w:bottom w:w="72" w:type="dxa"/>
              <w:right w:w="144" w:type="dxa"/>
            </w:tcMar>
            <w:hideMark/>
          </w:tcPr>
          <w:p w14:paraId="0DA670E3"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252" w:type="dxa"/>
            <w:shd w:val="clear" w:color="auto" w:fill="FFFFFF"/>
            <w:tcMar>
              <w:top w:w="72" w:type="dxa"/>
              <w:left w:w="144" w:type="dxa"/>
              <w:bottom w:w="72" w:type="dxa"/>
              <w:right w:w="144" w:type="dxa"/>
            </w:tcMar>
            <w:hideMark/>
          </w:tcPr>
          <w:p w14:paraId="4545689D"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350" w:type="dxa"/>
            <w:shd w:val="clear" w:color="auto" w:fill="FFFFFF"/>
          </w:tcPr>
          <w:p w14:paraId="12CB3910"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r>
      <w:tr w:rsidR="00227AE2" w:rsidRPr="00973F85" w14:paraId="59588546" w14:textId="77777777" w:rsidTr="009253AD">
        <w:trPr>
          <w:trHeight w:val="42"/>
          <w:jc w:val="center"/>
        </w:trPr>
        <w:tc>
          <w:tcPr>
            <w:tcW w:w="10086" w:type="dxa"/>
            <w:gridSpan w:val="6"/>
            <w:shd w:val="clear" w:color="auto" w:fill="DDD9C3"/>
          </w:tcPr>
          <w:p w14:paraId="6517B3C5" w14:textId="508E6303"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rPr>
            </w:pPr>
            <w:r>
              <w:rPr>
                <w:bCs/>
                <w:i/>
                <w:color w:val="auto"/>
                <w:sz w:val="18"/>
                <w:szCs w:val="18"/>
              </w:rPr>
              <w:t>Mobilisation des ressources</w:t>
            </w:r>
          </w:p>
        </w:tc>
      </w:tr>
      <w:tr w:rsidR="003E013C" w:rsidRPr="00973F85" w14:paraId="1F04F842" w14:textId="77777777" w:rsidTr="00241F09">
        <w:trPr>
          <w:trHeight w:val="364"/>
          <w:jc w:val="center"/>
        </w:trPr>
        <w:tc>
          <w:tcPr>
            <w:tcW w:w="2682" w:type="dxa"/>
            <w:shd w:val="clear" w:color="auto" w:fill="FFFFFF"/>
            <w:tcMar>
              <w:top w:w="72" w:type="dxa"/>
              <w:left w:w="144" w:type="dxa"/>
              <w:bottom w:w="72" w:type="dxa"/>
              <w:right w:w="144" w:type="dxa"/>
            </w:tcMar>
          </w:tcPr>
          <w:p w14:paraId="33FDC02C"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cs="Arial"/>
                <w:i/>
                <w:color w:val="auto"/>
                <w:sz w:val="18"/>
                <w:szCs w:val="18"/>
                <w:lang w:eastAsia="en-US"/>
              </w:rPr>
            </w:pPr>
          </w:p>
        </w:tc>
        <w:tc>
          <w:tcPr>
            <w:tcW w:w="1708" w:type="dxa"/>
            <w:shd w:val="clear" w:color="auto" w:fill="FFFFFF"/>
          </w:tcPr>
          <w:p w14:paraId="28C2277C"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109"/>
              <w:jc w:val="left"/>
              <w:rPr>
                <w:rFonts w:cs="Arial"/>
                <w:i/>
                <w:color w:val="auto"/>
                <w:sz w:val="18"/>
                <w:szCs w:val="18"/>
                <w:lang w:eastAsia="en-US"/>
              </w:rPr>
            </w:pPr>
          </w:p>
        </w:tc>
        <w:tc>
          <w:tcPr>
            <w:tcW w:w="1528" w:type="dxa"/>
            <w:shd w:val="clear" w:color="auto" w:fill="FFFFFF"/>
          </w:tcPr>
          <w:p w14:paraId="3B718F2C"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53" w:right="-164"/>
              <w:jc w:val="left"/>
              <w:rPr>
                <w:rFonts w:cs="Arial"/>
                <w:i/>
                <w:color w:val="auto"/>
                <w:sz w:val="18"/>
                <w:szCs w:val="18"/>
                <w:lang w:eastAsia="en-US"/>
              </w:rPr>
            </w:pPr>
          </w:p>
        </w:tc>
        <w:tc>
          <w:tcPr>
            <w:tcW w:w="1566" w:type="dxa"/>
            <w:shd w:val="clear" w:color="auto" w:fill="FFFFFF"/>
            <w:tcMar>
              <w:top w:w="72" w:type="dxa"/>
              <w:left w:w="144" w:type="dxa"/>
              <w:bottom w:w="72" w:type="dxa"/>
              <w:right w:w="144" w:type="dxa"/>
            </w:tcMar>
          </w:tcPr>
          <w:p w14:paraId="0E8E5DA2"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53" w:right="-164"/>
              <w:jc w:val="left"/>
              <w:rPr>
                <w:rFonts w:cs="Arial"/>
                <w:i/>
                <w:color w:val="auto"/>
                <w:sz w:val="18"/>
                <w:szCs w:val="18"/>
                <w:lang w:eastAsia="en-US"/>
              </w:rPr>
            </w:pPr>
          </w:p>
        </w:tc>
        <w:tc>
          <w:tcPr>
            <w:tcW w:w="1252" w:type="dxa"/>
            <w:shd w:val="clear" w:color="auto" w:fill="FFFFFF"/>
            <w:tcMar>
              <w:top w:w="72" w:type="dxa"/>
              <w:left w:w="144" w:type="dxa"/>
              <w:bottom w:w="72" w:type="dxa"/>
              <w:right w:w="144" w:type="dxa"/>
            </w:tcMar>
          </w:tcPr>
          <w:p w14:paraId="06AAD0BE"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7" w:right="-164"/>
              <w:jc w:val="left"/>
              <w:rPr>
                <w:rFonts w:cs="Arial"/>
                <w:i/>
                <w:color w:val="auto"/>
                <w:sz w:val="18"/>
                <w:szCs w:val="18"/>
                <w:lang w:eastAsia="en-US"/>
              </w:rPr>
            </w:pPr>
          </w:p>
        </w:tc>
        <w:tc>
          <w:tcPr>
            <w:tcW w:w="1350" w:type="dxa"/>
            <w:shd w:val="clear" w:color="auto" w:fill="FFFFFF"/>
          </w:tcPr>
          <w:p w14:paraId="6216C809"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7" w:right="-164"/>
              <w:jc w:val="left"/>
              <w:rPr>
                <w:rFonts w:cs="Arial"/>
                <w:i/>
                <w:color w:val="auto"/>
                <w:sz w:val="18"/>
                <w:szCs w:val="18"/>
                <w:lang w:eastAsia="en-US"/>
              </w:rPr>
            </w:pPr>
          </w:p>
        </w:tc>
      </w:tr>
      <w:tr w:rsidR="00227AE2" w:rsidRPr="00973F85" w14:paraId="277D4206" w14:textId="77777777" w:rsidTr="009253AD">
        <w:trPr>
          <w:trHeight w:val="134"/>
          <w:jc w:val="center"/>
        </w:trPr>
        <w:tc>
          <w:tcPr>
            <w:tcW w:w="10086" w:type="dxa"/>
            <w:gridSpan w:val="6"/>
            <w:shd w:val="clear" w:color="auto" w:fill="DDD9C3"/>
          </w:tcPr>
          <w:p w14:paraId="5D4B2953" w14:textId="6FEDE3BF" w:rsidR="00227AE2" w:rsidRPr="00973F85" w:rsidRDefault="00227AE2" w:rsidP="00D21586">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rPr>
            </w:pPr>
            <w:r>
              <w:rPr>
                <w:bCs/>
                <w:i/>
                <w:color w:val="auto"/>
                <w:sz w:val="18"/>
                <w:szCs w:val="18"/>
              </w:rPr>
              <w:t xml:space="preserve">Capacité de </w:t>
            </w:r>
            <w:r w:rsidR="00D21586">
              <w:rPr>
                <w:bCs/>
                <w:i/>
                <w:color w:val="auto"/>
                <w:sz w:val="18"/>
                <w:szCs w:val="18"/>
              </w:rPr>
              <w:t xml:space="preserve">renfort </w:t>
            </w:r>
            <w:r>
              <w:rPr>
                <w:bCs/>
                <w:i/>
                <w:color w:val="auto"/>
                <w:sz w:val="18"/>
                <w:szCs w:val="18"/>
              </w:rPr>
              <w:t>(nationale, régionale et mondiale, en fonction des besoins)</w:t>
            </w:r>
          </w:p>
        </w:tc>
      </w:tr>
      <w:tr w:rsidR="00227AE2" w:rsidRPr="00227AE2" w14:paraId="5F42FCB5" w14:textId="77777777" w:rsidTr="00241F09">
        <w:trPr>
          <w:trHeight w:val="364"/>
          <w:jc w:val="center"/>
        </w:trPr>
        <w:tc>
          <w:tcPr>
            <w:tcW w:w="2682" w:type="dxa"/>
            <w:shd w:val="clear" w:color="auto" w:fill="FFFFFF"/>
            <w:tcMar>
              <w:top w:w="72" w:type="dxa"/>
              <w:left w:w="144" w:type="dxa"/>
              <w:bottom w:w="72" w:type="dxa"/>
              <w:right w:w="144" w:type="dxa"/>
            </w:tcMar>
            <w:hideMark/>
          </w:tcPr>
          <w:p w14:paraId="0B5AB71A" w14:textId="77777777" w:rsidR="003E013C" w:rsidRPr="00227AE2" w:rsidRDefault="003E013C" w:rsidP="00227AE2">
            <w:pPr>
              <w:pBdr>
                <w:top w:val="none" w:sz="0" w:space="0" w:color="auto"/>
                <w:left w:val="none" w:sz="0" w:space="0" w:color="auto"/>
                <w:bottom w:val="none" w:sz="0" w:space="0" w:color="auto"/>
                <w:right w:val="none" w:sz="0" w:space="0" w:color="auto"/>
                <w:between w:val="none" w:sz="0" w:space="0" w:color="auto"/>
              </w:pBdr>
              <w:spacing w:after="0"/>
              <w:jc w:val="left"/>
              <w:rPr>
                <w:rFonts w:cs="Arial"/>
                <w:bCs/>
                <w:color w:val="auto"/>
                <w:sz w:val="16"/>
                <w:szCs w:val="16"/>
              </w:rPr>
            </w:pPr>
            <w:r>
              <w:rPr>
                <w:bCs/>
                <w:color w:val="auto"/>
                <w:sz w:val="16"/>
                <w:szCs w:val="16"/>
              </w:rPr>
              <w:t>Inclure le développement des capacités du personnel/des volontaires requis (formations)</w:t>
            </w:r>
          </w:p>
        </w:tc>
        <w:tc>
          <w:tcPr>
            <w:tcW w:w="1708" w:type="dxa"/>
            <w:shd w:val="clear" w:color="auto" w:fill="FFFFFF"/>
          </w:tcPr>
          <w:p w14:paraId="322F0888" w14:textId="77777777" w:rsidR="003E013C" w:rsidRPr="00227AE2"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528" w:type="dxa"/>
            <w:shd w:val="clear" w:color="auto" w:fill="FFFFFF"/>
          </w:tcPr>
          <w:p w14:paraId="51672A10" w14:textId="77777777" w:rsidR="003E013C" w:rsidRPr="00227AE2"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566" w:type="dxa"/>
            <w:shd w:val="clear" w:color="auto" w:fill="FFFFFF"/>
            <w:tcMar>
              <w:top w:w="72" w:type="dxa"/>
              <w:left w:w="144" w:type="dxa"/>
              <w:bottom w:w="72" w:type="dxa"/>
              <w:right w:w="144" w:type="dxa"/>
            </w:tcMar>
            <w:hideMark/>
          </w:tcPr>
          <w:p w14:paraId="7DC58DC9" w14:textId="77777777" w:rsidR="003E013C" w:rsidRPr="00227AE2"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252" w:type="dxa"/>
            <w:shd w:val="clear" w:color="auto" w:fill="FFFFFF"/>
            <w:tcMar>
              <w:top w:w="72" w:type="dxa"/>
              <w:left w:w="144" w:type="dxa"/>
              <w:bottom w:w="72" w:type="dxa"/>
              <w:right w:w="144" w:type="dxa"/>
            </w:tcMar>
            <w:hideMark/>
          </w:tcPr>
          <w:p w14:paraId="1EDD6064" w14:textId="77777777" w:rsidR="003E013C" w:rsidRPr="00227AE2"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350" w:type="dxa"/>
            <w:shd w:val="clear" w:color="auto" w:fill="FFFFFF"/>
          </w:tcPr>
          <w:p w14:paraId="2DC7A649" w14:textId="77777777" w:rsidR="003E013C" w:rsidRPr="00227AE2"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r>
      <w:tr w:rsidR="00227AE2" w:rsidRPr="00973F85" w14:paraId="4058FA94" w14:textId="77777777" w:rsidTr="009253AD">
        <w:trPr>
          <w:trHeight w:val="244"/>
          <w:jc w:val="center"/>
        </w:trPr>
        <w:tc>
          <w:tcPr>
            <w:tcW w:w="10086" w:type="dxa"/>
            <w:gridSpan w:val="6"/>
            <w:shd w:val="clear" w:color="auto" w:fill="DDD9C3"/>
          </w:tcPr>
          <w:p w14:paraId="2FA3F774" w14:textId="1EA1FE59" w:rsidR="00227AE2" w:rsidRPr="00973F85" w:rsidRDefault="00227AE2" w:rsidP="00D21586">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rPr>
            </w:pPr>
            <w:r>
              <w:rPr>
                <w:bCs/>
                <w:i/>
                <w:color w:val="auto"/>
                <w:sz w:val="18"/>
                <w:szCs w:val="18"/>
              </w:rPr>
              <w:t xml:space="preserve">Coordination </w:t>
            </w:r>
            <w:r w:rsidR="00D21586">
              <w:rPr>
                <w:bCs/>
                <w:i/>
                <w:color w:val="auto"/>
                <w:sz w:val="18"/>
                <w:szCs w:val="18"/>
              </w:rPr>
              <w:t>du M</w:t>
            </w:r>
            <w:r>
              <w:rPr>
                <w:bCs/>
                <w:i/>
                <w:color w:val="auto"/>
                <w:sz w:val="18"/>
                <w:szCs w:val="18"/>
              </w:rPr>
              <w:t>ouvement et diplomatie humanitaire</w:t>
            </w:r>
          </w:p>
        </w:tc>
      </w:tr>
      <w:tr w:rsidR="003E013C" w:rsidRPr="00973F85" w14:paraId="58E45161" w14:textId="77777777" w:rsidTr="00241F09">
        <w:trPr>
          <w:trHeight w:val="292"/>
          <w:jc w:val="center"/>
        </w:trPr>
        <w:tc>
          <w:tcPr>
            <w:tcW w:w="2682" w:type="dxa"/>
            <w:shd w:val="clear" w:color="auto" w:fill="FFFFFF"/>
            <w:tcMar>
              <w:top w:w="72" w:type="dxa"/>
              <w:left w:w="144" w:type="dxa"/>
              <w:bottom w:w="72" w:type="dxa"/>
              <w:right w:w="144" w:type="dxa"/>
            </w:tcMar>
            <w:hideMark/>
          </w:tcPr>
          <w:p w14:paraId="3091C6A6"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708" w:type="dxa"/>
            <w:shd w:val="clear" w:color="auto" w:fill="FFFFFF"/>
          </w:tcPr>
          <w:p w14:paraId="637EA1B3"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528" w:type="dxa"/>
            <w:shd w:val="clear" w:color="auto" w:fill="FFFFFF"/>
          </w:tcPr>
          <w:p w14:paraId="0C0E303D"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566" w:type="dxa"/>
            <w:shd w:val="clear" w:color="auto" w:fill="FFFFFF"/>
            <w:tcMar>
              <w:top w:w="72" w:type="dxa"/>
              <w:left w:w="144" w:type="dxa"/>
              <w:bottom w:w="72" w:type="dxa"/>
              <w:right w:w="144" w:type="dxa"/>
            </w:tcMar>
            <w:hideMark/>
          </w:tcPr>
          <w:p w14:paraId="175D5055"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252" w:type="dxa"/>
            <w:shd w:val="clear" w:color="auto" w:fill="FFFFFF"/>
            <w:tcMar>
              <w:top w:w="72" w:type="dxa"/>
              <w:left w:w="144" w:type="dxa"/>
              <w:bottom w:w="72" w:type="dxa"/>
              <w:right w:w="144" w:type="dxa"/>
            </w:tcMar>
            <w:hideMark/>
          </w:tcPr>
          <w:p w14:paraId="71DF7AE2"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350" w:type="dxa"/>
            <w:shd w:val="clear" w:color="auto" w:fill="FFFFFF"/>
          </w:tcPr>
          <w:p w14:paraId="257A1E2C"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r>
      <w:tr w:rsidR="00227AE2" w:rsidRPr="00973F85" w14:paraId="2285D949" w14:textId="77777777" w:rsidTr="009253AD">
        <w:trPr>
          <w:trHeight w:val="112"/>
          <w:jc w:val="center"/>
        </w:trPr>
        <w:tc>
          <w:tcPr>
            <w:tcW w:w="10086" w:type="dxa"/>
            <w:gridSpan w:val="6"/>
            <w:shd w:val="clear" w:color="auto" w:fill="DDD9C3"/>
          </w:tcPr>
          <w:p w14:paraId="4FB9B5F2" w14:textId="4962D92A"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rPr>
            </w:pPr>
            <w:r>
              <w:rPr>
                <w:bCs/>
                <w:i/>
                <w:color w:val="auto"/>
                <w:sz w:val="18"/>
                <w:szCs w:val="18"/>
              </w:rPr>
              <w:t>Tester et évaluer le plan</w:t>
            </w:r>
          </w:p>
        </w:tc>
      </w:tr>
      <w:tr w:rsidR="003E013C" w:rsidRPr="00973F85" w14:paraId="60B0B2DA" w14:textId="77777777" w:rsidTr="00241F09">
        <w:trPr>
          <w:trHeight w:val="292"/>
          <w:jc w:val="center"/>
        </w:trPr>
        <w:tc>
          <w:tcPr>
            <w:tcW w:w="2682" w:type="dxa"/>
            <w:shd w:val="clear" w:color="auto" w:fill="FFFFFF"/>
            <w:tcMar>
              <w:top w:w="72" w:type="dxa"/>
              <w:left w:w="144" w:type="dxa"/>
              <w:bottom w:w="72" w:type="dxa"/>
              <w:right w:w="144" w:type="dxa"/>
            </w:tcMar>
          </w:tcPr>
          <w:p w14:paraId="03ED8D3B"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708" w:type="dxa"/>
            <w:shd w:val="clear" w:color="auto" w:fill="FFFFFF"/>
          </w:tcPr>
          <w:p w14:paraId="4B4FBD64"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528" w:type="dxa"/>
            <w:shd w:val="clear" w:color="auto" w:fill="FFFFFF"/>
          </w:tcPr>
          <w:p w14:paraId="4D217E91"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566" w:type="dxa"/>
            <w:shd w:val="clear" w:color="auto" w:fill="FFFFFF"/>
            <w:tcMar>
              <w:top w:w="72" w:type="dxa"/>
              <w:left w:w="144" w:type="dxa"/>
              <w:bottom w:w="72" w:type="dxa"/>
              <w:right w:w="144" w:type="dxa"/>
            </w:tcMar>
          </w:tcPr>
          <w:p w14:paraId="19016755"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252" w:type="dxa"/>
            <w:shd w:val="clear" w:color="auto" w:fill="FFFFFF"/>
            <w:tcMar>
              <w:top w:w="72" w:type="dxa"/>
              <w:left w:w="144" w:type="dxa"/>
              <w:bottom w:w="72" w:type="dxa"/>
              <w:right w:w="144" w:type="dxa"/>
            </w:tcMar>
          </w:tcPr>
          <w:p w14:paraId="65E5D582"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350" w:type="dxa"/>
            <w:shd w:val="clear" w:color="auto" w:fill="FFFFFF"/>
          </w:tcPr>
          <w:p w14:paraId="3D3CCDD1"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r>
    </w:tbl>
    <w:p w14:paraId="23F079A0" w14:textId="4CC67A13" w:rsidR="003E013C" w:rsidRPr="00973F85" w:rsidRDefault="003E013C" w:rsidP="00E91318">
      <w:pPr>
        <w:rPr>
          <w:bCs/>
        </w:rPr>
      </w:pPr>
      <w:r>
        <w:br w:type="page"/>
      </w:r>
      <w:r w:rsidRPr="00E91318">
        <w:rPr>
          <w:b/>
          <w:i/>
          <w:color w:val="8D4121" w:themeColor="accent2" w:themeShade="BF"/>
          <w:sz w:val="28"/>
          <w:szCs w:val="28"/>
        </w:rPr>
        <w:lastRenderedPageBreak/>
        <w:t>Informer et former les ressources humaines</w:t>
      </w:r>
    </w:p>
    <w:p w14:paraId="5B76B7F4" w14:textId="610751A5" w:rsidR="003E013C" w:rsidRPr="00AF10FC" w:rsidRDefault="003E013C" w:rsidP="003E013C">
      <w:pPr>
        <w:pStyle w:val="Heading3"/>
      </w:pPr>
      <w:bookmarkStart w:id="24" w:name="_Toc59440503"/>
      <w:r>
        <w:t xml:space="preserve">Besoins de formation des équipes </w:t>
      </w:r>
      <w:r w:rsidR="00023848">
        <w:t xml:space="preserve">de la </w:t>
      </w:r>
      <w:r w:rsidR="00711A83">
        <w:t>Société nationale</w:t>
      </w:r>
      <w:bookmarkEnd w:id="24"/>
    </w:p>
    <w:p w14:paraId="747BFAC2" w14:textId="77777777" w:rsidR="003E013C" w:rsidRPr="000039D0" w:rsidRDefault="003E013C" w:rsidP="003E013C">
      <w:pPr>
        <w:pBdr>
          <w:top w:val="none" w:sz="0" w:space="0" w:color="auto"/>
          <w:left w:val="none" w:sz="0" w:space="0" w:color="auto"/>
          <w:bottom w:val="none" w:sz="0" w:space="0" w:color="auto"/>
          <w:right w:val="none" w:sz="0" w:space="0" w:color="auto"/>
          <w:between w:val="none" w:sz="0" w:space="0" w:color="auto"/>
        </w:pBdr>
        <w:spacing w:after="60"/>
        <w:rPr>
          <w:rFonts w:cs="Arial"/>
          <w:bCs/>
          <w:color w:val="auto"/>
          <w:szCs w:val="20"/>
        </w:rPr>
      </w:pPr>
      <w:r>
        <w:rPr>
          <w:bCs/>
          <w:color w:val="auto"/>
          <w:szCs w:val="20"/>
        </w:rPr>
        <w:t>Dans cette section, vous devez répondre aux questions suivantes :</w:t>
      </w:r>
    </w:p>
    <w:p w14:paraId="534FCCA0" w14:textId="5E34B849" w:rsidR="003E013C" w:rsidRPr="000039D0" w:rsidRDefault="003E013C" w:rsidP="003E013C">
      <w:pPr>
        <w:numPr>
          <w:ilvl w:val="0"/>
          <w:numId w:val="12"/>
        </w:numPr>
        <w:pBdr>
          <w:top w:val="none" w:sz="0" w:space="0" w:color="auto"/>
          <w:left w:val="none" w:sz="0" w:space="0" w:color="auto"/>
          <w:bottom w:val="none" w:sz="0" w:space="0" w:color="auto"/>
          <w:right w:val="none" w:sz="0" w:space="0" w:color="auto"/>
          <w:between w:val="none" w:sz="0" w:space="0" w:color="auto"/>
        </w:pBdr>
        <w:spacing w:after="60"/>
        <w:contextualSpacing/>
        <w:rPr>
          <w:rFonts w:cs="Arial"/>
          <w:bCs/>
          <w:color w:val="auto"/>
          <w:szCs w:val="20"/>
        </w:rPr>
      </w:pPr>
      <w:r>
        <w:rPr>
          <w:bCs/>
          <w:color w:val="auto"/>
          <w:szCs w:val="20"/>
        </w:rPr>
        <w:t xml:space="preserve">Combien d’effectifs et de </w:t>
      </w:r>
      <w:r w:rsidR="00023848">
        <w:rPr>
          <w:bCs/>
          <w:color w:val="auto"/>
          <w:szCs w:val="20"/>
        </w:rPr>
        <w:t xml:space="preserve">volontaires </w:t>
      </w:r>
      <w:r>
        <w:rPr>
          <w:bCs/>
          <w:color w:val="auto"/>
          <w:szCs w:val="20"/>
        </w:rPr>
        <w:t xml:space="preserve">seront nécessaires pour mettre en œuvre les plans opérationnels élaborés dans votre </w:t>
      </w:r>
      <w:proofErr w:type="spellStart"/>
      <w:r w:rsidR="00023848">
        <w:rPr>
          <w:bCs/>
          <w:color w:val="auto"/>
          <w:szCs w:val="20"/>
        </w:rPr>
        <w:t>PdC</w:t>
      </w:r>
      <w:proofErr w:type="spellEnd"/>
      <w:r w:rsidR="00023848">
        <w:rPr>
          <w:bCs/>
          <w:color w:val="auto"/>
          <w:szCs w:val="20"/>
        </w:rPr>
        <w:t> </w:t>
      </w:r>
      <w:r>
        <w:rPr>
          <w:bCs/>
          <w:color w:val="auto"/>
          <w:szCs w:val="20"/>
        </w:rPr>
        <w:t xml:space="preserve">? </w:t>
      </w:r>
    </w:p>
    <w:p w14:paraId="376A028C" w14:textId="3AE4E0B5" w:rsidR="003E013C" w:rsidRPr="000039D0" w:rsidRDefault="00360C68" w:rsidP="003E013C">
      <w:pPr>
        <w:numPr>
          <w:ilvl w:val="0"/>
          <w:numId w:val="12"/>
        </w:numPr>
        <w:pBdr>
          <w:top w:val="none" w:sz="0" w:space="0" w:color="auto"/>
          <w:left w:val="none" w:sz="0" w:space="0" w:color="auto"/>
          <w:bottom w:val="none" w:sz="0" w:space="0" w:color="auto"/>
          <w:right w:val="none" w:sz="0" w:space="0" w:color="auto"/>
          <w:between w:val="none" w:sz="0" w:space="0" w:color="auto"/>
        </w:pBdr>
        <w:spacing w:after="60"/>
        <w:contextualSpacing/>
        <w:rPr>
          <w:rFonts w:cs="Arial"/>
          <w:bCs/>
          <w:color w:val="auto"/>
          <w:szCs w:val="20"/>
        </w:rPr>
      </w:pPr>
      <w:r>
        <w:rPr>
          <w:bCs/>
          <w:color w:val="auto"/>
          <w:szCs w:val="20"/>
        </w:rPr>
        <w:t>Quelles sont les compétences requises ?</w:t>
      </w:r>
    </w:p>
    <w:p w14:paraId="78F08854" w14:textId="11AA3943" w:rsidR="003E013C" w:rsidRPr="000039D0" w:rsidRDefault="00DF6964" w:rsidP="003E013C">
      <w:pPr>
        <w:numPr>
          <w:ilvl w:val="0"/>
          <w:numId w:val="12"/>
        </w:numPr>
        <w:pBdr>
          <w:top w:val="none" w:sz="0" w:space="0" w:color="auto"/>
          <w:left w:val="none" w:sz="0" w:space="0" w:color="auto"/>
          <w:bottom w:val="none" w:sz="0" w:space="0" w:color="auto"/>
          <w:right w:val="none" w:sz="0" w:space="0" w:color="auto"/>
          <w:between w:val="none" w:sz="0" w:space="0" w:color="auto"/>
        </w:pBdr>
        <w:spacing w:after="60"/>
        <w:contextualSpacing/>
        <w:rPr>
          <w:rFonts w:cs="Arial"/>
          <w:bCs/>
          <w:color w:val="auto"/>
          <w:szCs w:val="20"/>
        </w:rPr>
      </w:pPr>
      <w:r>
        <w:rPr>
          <w:bCs/>
          <w:color w:val="auto"/>
          <w:szCs w:val="20"/>
        </w:rPr>
        <w:t>Combien de personnel/</w:t>
      </w:r>
      <w:r w:rsidR="00023848">
        <w:rPr>
          <w:bCs/>
          <w:color w:val="auto"/>
          <w:szCs w:val="20"/>
        </w:rPr>
        <w:t xml:space="preserve">volontaires </w:t>
      </w:r>
      <w:r>
        <w:rPr>
          <w:bCs/>
          <w:color w:val="auto"/>
          <w:szCs w:val="20"/>
        </w:rPr>
        <w:t xml:space="preserve">la </w:t>
      </w:r>
      <w:r w:rsidR="00711A83">
        <w:rPr>
          <w:bCs/>
          <w:color w:val="auto"/>
          <w:szCs w:val="20"/>
        </w:rPr>
        <w:t>Société nationale</w:t>
      </w:r>
      <w:r>
        <w:rPr>
          <w:bCs/>
          <w:color w:val="auto"/>
          <w:szCs w:val="20"/>
        </w:rPr>
        <w:t xml:space="preserve"> compte-t-elle déjà ? </w:t>
      </w:r>
    </w:p>
    <w:p w14:paraId="3EAAE5B1" w14:textId="311C4F67" w:rsidR="003E013C" w:rsidRPr="000039D0" w:rsidRDefault="003E013C" w:rsidP="003E013C">
      <w:pPr>
        <w:numPr>
          <w:ilvl w:val="0"/>
          <w:numId w:val="12"/>
        </w:numPr>
        <w:pBdr>
          <w:top w:val="none" w:sz="0" w:space="0" w:color="auto"/>
          <w:left w:val="none" w:sz="0" w:space="0" w:color="auto"/>
          <w:bottom w:val="none" w:sz="0" w:space="0" w:color="auto"/>
          <w:right w:val="none" w:sz="0" w:space="0" w:color="auto"/>
          <w:between w:val="none" w:sz="0" w:space="0" w:color="auto"/>
        </w:pBdr>
        <w:spacing w:after="60"/>
        <w:contextualSpacing/>
        <w:rPr>
          <w:rFonts w:cs="Arial"/>
          <w:bCs/>
          <w:color w:val="auto"/>
          <w:szCs w:val="20"/>
        </w:rPr>
      </w:pPr>
      <w:r>
        <w:t>Combien possèdent les aptitudes et compétences nécessaires ?</w:t>
      </w:r>
    </w:p>
    <w:p w14:paraId="3D3A95C9" w14:textId="308ECF82" w:rsidR="003E013C" w:rsidRPr="000039D0" w:rsidRDefault="003E013C" w:rsidP="003E013C">
      <w:pPr>
        <w:numPr>
          <w:ilvl w:val="0"/>
          <w:numId w:val="12"/>
        </w:numPr>
        <w:pBdr>
          <w:top w:val="none" w:sz="0" w:space="0" w:color="auto"/>
          <w:left w:val="none" w:sz="0" w:space="0" w:color="auto"/>
          <w:bottom w:val="none" w:sz="0" w:space="0" w:color="auto"/>
          <w:right w:val="none" w:sz="0" w:space="0" w:color="auto"/>
          <w:between w:val="none" w:sz="0" w:space="0" w:color="auto"/>
        </w:pBdr>
        <w:spacing w:after="60"/>
        <w:contextualSpacing/>
        <w:rPr>
          <w:rFonts w:cs="Arial"/>
          <w:bCs/>
          <w:color w:val="auto"/>
          <w:szCs w:val="20"/>
        </w:rPr>
      </w:pPr>
      <w:r>
        <w:rPr>
          <w:bCs/>
          <w:color w:val="auto"/>
          <w:szCs w:val="20"/>
        </w:rPr>
        <w:t xml:space="preserve">Conclusion : combien de nouveaux </w:t>
      </w:r>
      <w:r w:rsidR="00023848">
        <w:rPr>
          <w:bCs/>
          <w:color w:val="auto"/>
          <w:szCs w:val="20"/>
        </w:rPr>
        <w:t xml:space="preserve">volontaires </w:t>
      </w:r>
      <w:r>
        <w:rPr>
          <w:bCs/>
          <w:color w:val="auto"/>
          <w:szCs w:val="20"/>
        </w:rPr>
        <w:t xml:space="preserve">doivent être recrutés ? Quelle formation doit être dispensée, et à qui ? </w:t>
      </w:r>
    </w:p>
    <w:p w14:paraId="0B911BBC" w14:textId="77777777" w:rsidR="003E013C" w:rsidRPr="000039D0" w:rsidRDefault="003E013C" w:rsidP="003E013C">
      <w:pPr>
        <w:pBdr>
          <w:top w:val="none" w:sz="0" w:space="0" w:color="auto"/>
          <w:left w:val="none" w:sz="0" w:space="0" w:color="auto"/>
          <w:bottom w:val="none" w:sz="0" w:space="0" w:color="auto"/>
          <w:right w:val="none" w:sz="0" w:space="0" w:color="auto"/>
          <w:between w:val="none" w:sz="0" w:space="0" w:color="auto"/>
        </w:pBdr>
        <w:spacing w:after="60"/>
        <w:ind w:left="360"/>
        <w:contextualSpacing/>
        <w:rPr>
          <w:rFonts w:cs="Arial"/>
          <w:bCs/>
          <w:color w:val="auto"/>
          <w:szCs w:val="20"/>
          <w:lang w:eastAsia="en-US"/>
        </w:rPr>
      </w:pPr>
    </w:p>
    <w:p w14:paraId="66DD9DDF" w14:textId="26693BCF" w:rsidR="003E013C" w:rsidRPr="000039D0" w:rsidRDefault="00360C68" w:rsidP="00ED1C7E">
      <w:pPr>
        <w:pBdr>
          <w:top w:val="none" w:sz="0" w:space="0" w:color="auto"/>
          <w:left w:val="none" w:sz="0" w:space="0" w:color="auto"/>
          <w:bottom w:val="none" w:sz="0" w:space="0" w:color="auto"/>
          <w:right w:val="none" w:sz="0" w:space="0" w:color="auto"/>
          <w:between w:val="none" w:sz="0" w:space="0" w:color="auto"/>
        </w:pBdr>
        <w:spacing w:after="60"/>
        <w:contextualSpacing/>
        <w:rPr>
          <w:rFonts w:cs="Arial"/>
          <w:bCs/>
          <w:color w:val="auto"/>
          <w:szCs w:val="20"/>
        </w:rPr>
      </w:pPr>
      <w:r>
        <w:t xml:space="preserve">Le recrutement et la formation du personnel/des </w:t>
      </w:r>
      <w:r w:rsidR="00023848">
        <w:t xml:space="preserve">volontaires </w:t>
      </w:r>
      <w:r>
        <w:t xml:space="preserve">doivent être inclus dans votre plan d’action de préparation de la </w:t>
      </w:r>
      <w:r w:rsidR="00711A83">
        <w:t>Société nationale</w:t>
      </w:r>
      <w:r>
        <w:t>.</w:t>
      </w:r>
      <w:r>
        <w:rPr>
          <w:bCs/>
          <w:color w:val="auto"/>
          <w:szCs w:val="20"/>
        </w:rPr>
        <w:t xml:space="preserve"> Vous pouvez également utiliser les critères de référence de la </w:t>
      </w:r>
      <w:r w:rsidR="00023848">
        <w:rPr>
          <w:bCs/>
          <w:color w:val="auto"/>
          <w:szCs w:val="20"/>
        </w:rPr>
        <w:t>P</w:t>
      </w:r>
      <w:r>
        <w:rPr>
          <w:bCs/>
          <w:color w:val="auto"/>
          <w:szCs w:val="20"/>
        </w:rPr>
        <w:t xml:space="preserve">réparation à une </w:t>
      </w:r>
      <w:r w:rsidR="00023848">
        <w:rPr>
          <w:bCs/>
          <w:color w:val="auto"/>
          <w:szCs w:val="20"/>
        </w:rPr>
        <w:t>I</w:t>
      </w:r>
      <w:r>
        <w:rPr>
          <w:bCs/>
          <w:color w:val="auto"/>
          <w:szCs w:val="20"/>
        </w:rPr>
        <w:t xml:space="preserve">ntervention </w:t>
      </w:r>
      <w:r w:rsidR="00023848">
        <w:rPr>
          <w:bCs/>
          <w:color w:val="auto"/>
          <w:szCs w:val="20"/>
        </w:rPr>
        <w:t>E</w:t>
      </w:r>
      <w:r>
        <w:rPr>
          <w:bCs/>
          <w:color w:val="auto"/>
          <w:szCs w:val="20"/>
        </w:rPr>
        <w:t>fficace</w:t>
      </w:r>
      <w:r w:rsidR="00023848">
        <w:rPr>
          <w:bCs/>
          <w:color w:val="auto"/>
          <w:szCs w:val="20"/>
        </w:rPr>
        <w:t xml:space="preserve"> (PIE)</w:t>
      </w:r>
      <w:r>
        <w:rPr>
          <w:bCs/>
          <w:color w:val="auto"/>
          <w:szCs w:val="20"/>
        </w:rPr>
        <w:t xml:space="preserve"> pour définir vos actions de préparation et comme indicateurs de réalisation.</w:t>
      </w:r>
      <w:r w:rsidR="00ED1C7E">
        <w:rPr>
          <w:rFonts w:cs="Arial"/>
          <w:bCs/>
          <w:color w:val="auto"/>
          <w:szCs w:val="20"/>
          <w:lang w:val="en-CH"/>
        </w:rPr>
        <w:t xml:space="preserve"> </w:t>
      </w:r>
      <w:r w:rsidR="003E013C">
        <w:rPr>
          <w:bCs/>
          <w:color w:val="auto"/>
          <w:szCs w:val="20"/>
        </w:rPr>
        <w:t xml:space="preserve">Les exigences et les besoins de la </w:t>
      </w:r>
      <w:r w:rsidR="00711A83">
        <w:rPr>
          <w:bCs/>
          <w:color w:val="auto"/>
          <w:szCs w:val="20"/>
        </w:rPr>
        <w:t>Société nationale</w:t>
      </w:r>
      <w:r w:rsidR="003E013C">
        <w:rPr>
          <w:bCs/>
          <w:color w:val="auto"/>
          <w:szCs w:val="20"/>
        </w:rPr>
        <w:t xml:space="preserve"> en matière de formation des ressources humaines peuvent être résumés dans un tableau.</w:t>
      </w:r>
    </w:p>
    <w:p w14:paraId="5EFE71F7" w14:textId="77777777" w:rsidR="003E013C" w:rsidRPr="00BB5915" w:rsidRDefault="003E013C" w:rsidP="003E013C">
      <w:pPr>
        <w:pStyle w:val="Heading3"/>
      </w:pPr>
      <w:bookmarkStart w:id="25" w:name="_Toc59440504"/>
      <w:r>
        <w:t>Simulation et exercices pratiques</w:t>
      </w:r>
      <w:bookmarkEnd w:id="25"/>
    </w:p>
    <w:p w14:paraId="6266F788" w14:textId="3873A57A" w:rsidR="003E013C" w:rsidRPr="000039D0" w:rsidRDefault="003E013C" w:rsidP="003E013C">
      <w:pPr>
        <w:pStyle w:val="Default"/>
        <w:spacing w:after="120"/>
        <w:jc w:val="both"/>
        <w:rPr>
          <w:rFonts w:ascii="Arial" w:hAnsi="Arial" w:cs="Arial"/>
          <w:color w:val="auto"/>
          <w:sz w:val="20"/>
          <w:szCs w:val="20"/>
        </w:rPr>
      </w:pPr>
      <w:r>
        <w:rPr>
          <w:rFonts w:ascii="Arial" w:hAnsi="Arial"/>
          <w:color w:val="auto"/>
          <w:sz w:val="20"/>
          <w:szCs w:val="20"/>
        </w:rPr>
        <w:t xml:space="preserve">Tester le plan opérationnel constitue le meilleur moyen de s’assurer que l’équipe de votre </w:t>
      </w:r>
      <w:r w:rsidR="00711A83">
        <w:rPr>
          <w:rFonts w:ascii="Arial" w:hAnsi="Arial"/>
          <w:color w:val="auto"/>
          <w:sz w:val="20"/>
          <w:szCs w:val="20"/>
        </w:rPr>
        <w:t>Société nationale</w:t>
      </w:r>
      <w:r>
        <w:rPr>
          <w:rFonts w:ascii="Arial" w:hAnsi="Arial"/>
          <w:color w:val="auto"/>
          <w:sz w:val="20"/>
          <w:szCs w:val="20"/>
        </w:rPr>
        <w:t xml:space="preserve"> est à jour avec les plans et sait comment agir avant et pendant une urgence. Cette </w:t>
      </w:r>
      <w:r w:rsidR="00023848">
        <w:rPr>
          <w:rFonts w:ascii="Arial" w:hAnsi="Arial"/>
          <w:color w:val="auto"/>
          <w:sz w:val="20"/>
          <w:szCs w:val="20"/>
        </w:rPr>
        <w:t xml:space="preserve">étape </w:t>
      </w:r>
      <w:r>
        <w:rPr>
          <w:rFonts w:ascii="Arial" w:hAnsi="Arial"/>
          <w:color w:val="auto"/>
          <w:sz w:val="20"/>
          <w:szCs w:val="20"/>
        </w:rPr>
        <w:t xml:space="preserve">peut également être envisagée dans le cadre du processus de validation de votre plan. </w:t>
      </w:r>
    </w:p>
    <w:p w14:paraId="2332FE57" w14:textId="0EC982F1" w:rsidR="003E013C" w:rsidRPr="000039D0" w:rsidRDefault="003E013C" w:rsidP="003E013C">
      <w:pPr>
        <w:pStyle w:val="Default"/>
        <w:spacing w:after="120"/>
        <w:jc w:val="both"/>
        <w:rPr>
          <w:rFonts w:ascii="Arial" w:hAnsi="Arial" w:cs="Arial"/>
          <w:color w:val="auto"/>
          <w:sz w:val="20"/>
          <w:szCs w:val="20"/>
        </w:rPr>
      </w:pPr>
      <w:r>
        <w:rPr>
          <w:rFonts w:ascii="Arial" w:hAnsi="Arial"/>
          <w:color w:val="auto"/>
          <w:sz w:val="20"/>
          <w:szCs w:val="20"/>
        </w:rPr>
        <w:t>L</w:t>
      </w:r>
      <w:r w:rsidR="00023848">
        <w:rPr>
          <w:rFonts w:ascii="Arial" w:hAnsi="Arial"/>
          <w:color w:val="auto"/>
          <w:sz w:val="20"/>
          <w:szCs w:val="20"/>
        </w:rPr>
        <w:t xml:space="preserve">’évaluation </w:t>
      </w:r>
      <w:r>
        <w:rPr>
          <w:rFonts w:ascii="Arial" w:hAnsi="Arial"/>
          <w:color w:val="auto"/>
          <w:sz w:val="20"/>
          <w:szCs w:val="20"/>
        </w:rPr>
        <w:t xml:space="preserve">du plan peut se faire en simulant des situations aussi proches que possible des scénarios prévus dans les plans. Une telle démarche peut se </w:t>
      </w:r>
      <w:r w:rsidR="00023848">
        <w:rPr>
          <w:rFonts w:ascii="Arial" w:hAnsi="Arial"/>
          <w:color w:val="auto"/>
          <w:sz w:val="20"/>
          <w:szCs w:val="20"/>
        </w:rPr>
        <w:t xml:space="preserve">faire </w:t>
      </w:r>
      <w:r>
        <w:rPr>
          <w:rFonts w:ascii="Arial" w:hAnsi="Arial"/>
          <w:color w:val="auto"/>
          <w:sz w:val="20"/>
          <w:szCs w:val="20"/>
        </w:rPr>
        <w:t xml:space="preserve">par </w:t>
      </w:r>
      <w:r w:rsidR="00023848">
        <w:rPr>
          <w:rFonts w:ascii="Arial" w:hAnsi="Arial"/>
          <w:color w:val="auto"/>
          <w:sz w:val="20"/>
          <w:szCs w:val="20"/>
        </w:rPr>
        <w:t xml:space="preserve">une simulation </w:t>
      </w:r>
      <w:r>
        <w:rPr>
          <w:rFonts w:ascii="Arial" w:hAnsi="Arial"/>
          <w:color w:val="auto"/>
          <w:sz w:val="20"/>
          <w:szCs w:val="20"/>
        </w:rPr>
        <w:t xml:space="preserve">sur le terrain, mais aussi sous la forme d’un exercice </w:t>
      </w:r>
      <w:r w:rsidR="00023848">
        <w:rPr>
          <w:rFonts w:ascii="Arial" w:hAnsi="Arial"/>
          <w:color w:val="auto"/>
          <w:sz w:val="20"/>
          <w:szCs w:val="20"/>
        </w:rPr>
        <w:t xml:space="preserve">sur </w:t>
      </w:r>
      <w:r>
        <w:rPr>
          <w:rFonts w:ascii="Arial" w:hAnsi="Arial"/>
          <w:color w:val="auto"/>
          <w:sz w:val="20"/>
          <w:szCs w:val="20"/>
        </w:rPr>
        <w:t>table qui nécessite moins de ressources et moins de temps.</w:t>
      </w:r>
    </w:p>
    <w:p w14:paraId="76541297" w14:textId="2ED12E79" w:rsidR="003E013C" w:rsidRPr="00292702" w:rsidRDefault="003E013C" w:rsidP="003E013C">
      <w:pPr>
        <w:pStyle w:val="Default"/>
        <w:spacing w:after="120"/>
        <w:jc w:val="both"/>
        <w:rPr>
          <w:rStyle w:val="Hyperlink"/>
          <w:rFonts w:ascii="Arial" w:hAnsi="Arial" w:cs="Arial"/>
          <w:color w:val="0000FF"/>
          <w:sz w:val="20"/>
          <w:szCs w:val="20"/>
        </w:rPr>
      </w:pPr>
      <w:r>
        <w:rPr>
          <w:rFonts w:ascii="Arial" w:hAnsi="Arial"/>
          <w:color w:val="auto"/>
          <w:sz w:val="20"/>
          <w:szCs w:val="20"/>
        </w:rPr>
        <w:t xml:space="preserve">Pour plus d’informations sur la simulation, vous pouvez consulter </w:t>
      </w:r>
      <w:hyperlink r:id="rId45" w:history="1">
        <w:r>
          <w:rPr>
            <w:rStyle w:val="Hyperlink"/>
            <w:rFonts w:ascii="Arial" w:hAnsi="Arial"/>
            <w:color w:val="0000FF"/>
            <w:sz w:val="20"/>
            <w:szCs w:val="20"/>
          </w:rPr>
          <w:t xml:space="preserve">ECB Simulations Project, </w:t>
        </w:r>
        <w:proofErr w:type="spellStart"/>
        <w:r>
          <w:rPr>
            <w:rStyle w:val="Hyperlink"/>
            <w:rFonts w:ascii="Arial" w:hAnsi="Arial"/>
            <w:color w:val="0000FF"/>
            <w:sz w:val="20"/>
            <w:szCs w:val="20"/>
          </w:rPr>
          <w:t>ToT</w:t>
        </w:r>
        <w:proofErr w:type="spellEnd"/>
        <w:r>
          <w:rPr>
            <w:rStyle w:val="Hyperlink"/>
            <w:rFonts w:ascii="Arial" w:hAnsi="Arial"/>
            <w:color w:val="0000FF"/>
            <w:sz w:val="20"/>
            <w:szCs w:val="20"/>
          </w:rPr>
          <w:t>, 2007</w:t>
        </w:r>
      </w:hyperlink>
      <w:r>
        <w:rPr>
          <w:rFonts w:ascii="Arial" w:hAnsi="Arial"/>
          <w:color w:val="0000FF"/>
          <w:sz w:val="20"/>
          <w:szCs w:val="22"/>
        </w:rPr>
        <w:t xml:space="preserve">, </w:t>
      </w:r>
      <w:hyperlink r:id="rId46" w:history="1">
        <w:r w:rsidR="00023848">
          <w:rPr>
            <w:rStyle w:val="Hyperlink"/>
            <w:rFonts w:ascii="Arial" w:hAnsi="Arial"/>
            <w:color w:val="0000FF"/>
            <w:sz w:val="20"/>
            <w:szCs w:val="22"/>
          </w:rPr>
          <w:t>Guide pratique pour la simulation, 2009</w:t>
        </w:r>
      </w:hyperlink>
      <w:r>
        <w:rPr>
          <w:rFonts w:ascii="Arial" w:hAnsi="Arial"/>
          <w:color w:val="auto"/>
          <w:sz w:val="20"/>
          <w:szCs w:val="20"/>
        </w:rPr>
        <w:t xml:space="preserve">, </w:t>
      </w:r>
      <w:hyperlink r:id="rId47" w:history="1">
        <w:r>
          <w:rPr>
            <w:rStyle w:val="Hyperlink"/>
            <w:rFonts w:ascii="Arial" w:hAnsi="Arial"/>
            <w:color w:val="0000FF"/>
            <w:sz w:val="20"/>
            <w:szCs w:val="20"/>
          </w:rPr>
          <w:t xml:space="preserve">IASC </w:t>
        </w:r>
        <w:proofErr w:type="spellStart"/>
        <w:r>
          <w:rPr>
            <w:rStyle w:val="Hyperlink"/>
            <w:rFonts w:ascii="Arial" w:hAnsi="Arial"/>
            <w:color w:val="0000FF"/>
            <w:sz w:val="20"/>
            <w:szCs w:val="20"/>
          </w:rPr>
          <w:t>Government</w:t>
        </w:r>
        <w:proofErr w:type="spellEnd"/>
        <w:r>
          <w:rPr>
            <w:rStyle w:val="Hyperlink"/>
            <w:rFonts w:ascii="Arial" w:hAnsi="Arial"/>
            <w:color w:val="0000FF"/>
            <w:sz w:val="20"/>
            <w:szCs w:val="20"/>
          </w:rPr>
          <w:t xml:space="preserve"> Emergency Simulation, 2012</w:t>
        </w:r>
      </w:hyperlink>
      <w:r>
        <w:rPr>
          <w:color w:val="auto"/>
        </w:rPr>
        <w:t xml:space="preserve"> </w:t>
      </w:r>
      <w:r>
        <w:rPr>
          <w:rFonts w:ascii="Arial" w:hAnsi="Arial"/>
          <w:color w:val="auto"/>
          <w:sz w:val="20"/>
          <w:szCs w:val="20"/>
        </w:rPr>
        <w:t>et</w:t>
      </w:r>
      <w:r>
        <w:rPr>
          <w:rFonts w:ascii="Arial" w:hAnsi="Arial"/>
          <w:i/>
          <w:color w:val="0070C0"/>
          <w:sz w:val="20"/>
          <w:szCs w:val="20"/>
        </w:rPr>
        <w:t xml:space="preserve"> </w:t>
      </w:r>
      <w:hyperlink r:id="rId48" w:history="1">
        <w:proofErr w:type="spellStart"/>
        <w:r>
          <w:rPr>
            <w:rStyle w:val="Hyperlink"/>
            <w:rFonts w:ascii="Arial" w:hAnsi="Arial"/>
            <w:color w:val="0000FF"/>
            <w:sz w:val="20"/>
            <w:szCs w:val="20"/>
          </w:rPr>
          <w:t>Testing</w:t>
        </w:r>
        <w:proofErr w:type="spellEnd"/>
        <w:r>
          <w:rPr>
            <w:rStyle w:val="Hyperlink"/>
            <w:rFonts w:ascii="Arial" w:hAnsi="Arial"/>
            <w:color w:val="0000FF"/>
            <w:sz w:val="20"/>
            <w:szCs w:val="20"/>
          </w:rPr>
          <w:t xml:space="preserve"> and </w:t>
        </w:r>
        <w:proofErr w:type="spellStart"/>
        <w:r>
          <w:rPr>
            <w:rStyle w:val="Hyperlink"/>
            <w:rFonts w:ascii="Arial" w:hAnsi="Arial"/>
            <w:color w:val="0000FF"/>
            <w:sz w:val="20"/>
            <w:szCs w:val="20"/>
          </w:rPr>
          <w:t>learning</w:t>
        </w:r>
        <w:proofErr w:type="spellEnd"/>
        <w:r>
          <w:rPr>
            <w:rStyle w:val="Hyperlink"/>
            <w:rFonts w:ascii="Arial" w:hAnsi="Arial"/>
            <w:color w:val="0000FF"/>
            <w:sz w:val="20"/>
            <w:szCs w:val="20"/>
          </w:rPr>
          <w:t xml:space="preserve"> PER benchmarks</w:t>
        </w:r>
      </w:hyperlink>
      <w:r w:rsidR="008708F1">
        <w:rPr>
          <w:rStyle w:val="Hyperlink"/>
          <w:rFonts w:ascii="Arial" w:hAnsi="Arial"/>
          <w:color w:val="0000FF"/>
          <w:sz w:val="20"/>
          <w:szCs w:val="20"/>
        </w:rPr>
        <w:t xml:space="preserve"> (indicateurs PIE)</w:t>
      </w:r>
      <w:r>
        <w:rPr>
          <w:rStyle w:val="Hyperlink"/>
          <w:rFonts w:ascii="Arial" w:hAnsi="Arial"/>
          <w:color w:val="0000FF"/>
          <w:sz w:val="20"/>
          <w:szCs w:val="20"/>
        </w:rPr>
        <w:t xml:space="preserve">. </w:t>
      </w:r>
    </w:p>
    <w:p w14:paraId="125A1389" w14:textId="3DBC22DA" w:rsidR="003E013C" w:rsidRPr="000039D0" w:rsidRDefault="003E013C" w:rsidP="003E013C">
      <w:pPr>
        <w:pStyle w:val="Default"/>
        <w:spacing w:after="120"/>
        <w:jc w:val="both"/>
        <w:rPr>
          <w:rFonts w:ascii="Arial" w:hAnsi="Arial" w:cs="Arial"/>
          <w:color w:val="auto"/>
          <w:sz w:val="20"/>
          <w:szCs w:val="20"/>
        </w:rPr>
      </w:pPr>
      <w:r>
        <w:rPr>
          <w:rFonts w:ascii="Arial" w:hAnsi="Arial"/>
          <w:color w:val="auto"/>
          <w:sz w:val="20"/>
          <w:szCs w:val="20"/>
        </w:rPr>
        <w:t>Des outils de simulation spécifiques sont disponibles ici :</w:t>
      </w:r>
      <w:proofErr w:type="spellStart"/>
      <w:r w:rsidR="00A82017">
        <w:fldChar w:fldCharType="begin"/>
      </w:r>
      <w:r w:rsidR="00A82017">
        <w:instrText xml:space="preserve"> HYPERLINK "https://fednet.ifrc.org/PageFiles/134068/Guidebook,%20Template,%20Visual%20Explorer%20Tool.zip" </w:instrText>
      </w:r>
      <w:r w:rsidR="00A82017">
        <w:fldChar w:fldCharType="separate"/>
      </w:r>
      <w:r>
        <w:rPr>
          <w:rStyle w:val="Hyperlink"/>
          <w:rFonts w:ascii="Arial" w:hAnsi="Arial"/>
          <w:color w:val="0000FF"/>
          <w:sz w:val="20"/>
          <w:szCs w:val="20"/>
        </w:rPr>
        <w:t>Guidebook</w:t>
      </w:r>
      <w:proofErr w:type="spellEnd"/>
      <w:r>
        <w:rPr>
          <w:rStyle w:val="Hyperlink"/>
          <w:rFonts w:ascii="Arial" w:hAnsi="Arial"/>
          <w:color w:val="0000FF"/>
          <w:sz w:val="20"/>
          <w:szCs w:val="20"/>
        </w:rPr>
        <w:t xml:space="preserve">, Template, Visual Explorer </w:t>
      </w:r>
      <w:proofErr w:type="spellStart"/>
      <w:r>
        <w:rPr>
          <w:rStyle w:val="Hyperlink"/>
          <w:rFonts w:ascii="Arial" w:hAnsi="Arial"/>
          <w:color w:val="0000FF"/>
          <w:sz w:val="20"/>
          <w:szCs w:val="20"/>
        </w:rPr>
        <w:t>tool</w:t>
      </w:r>
      <w:proofErr w:type="spellEnd"/>
      <w:r>
        <w:rPr>
          <w:rStyle w:val="Hyperlink"/>
          <w:rFonts w:ascii="Arial" w:hAnsi="Arial"/>
          <w:color w:val="0000FF"/>
          <w:sz w:val="20"/>
          <w:szCs w:val="20"/>
        </w:rPr>
        <w:t xml:space="preserve"> (Guide, modèle, outil Visual Explorer)</w:t>
      </w:r>
      <w:r w:rsidR="00A82017">
        <w:rPr>
          <w:rStyle w:val="Hyperlink"/>
          <w:rFonts w:ascii="Arial" w:hAnsi="Arial"/>
          <w:color w:val="0000FF"/>
          <w:sz w:val="20"/>
          <w:szCs w:val="20"/>
        </w:rPr>
        <w:fldChar w:fldCharType="end"/>
      </w:r>
      <w:r>
        <w:rPr>
          <w:rStyle w:val="Hyperlink"/>
          <w:rFonts w:ascii="Arial" w:hAnsi="Arial"/>
          <w:color w:val="0000FF"/>
          <w:sz w:val="20"/>
          <w:szCs w:val="20"/>
        </w:rPr>
        <w:t>,</w:t>
      </w:r>
      <w:r>
        <w:rPr>
          <w:rFonts w:ascii="Arial" w:hAnsi="Arial"/>
          <w:i/>
          <w:color w:val="0070C0"/>
          <w:sz w:val="20"/>
          <w:szCs w:val="20"/>
        </w:rPr>
        <w:t xml:space="preserve"> </w:t>
      </w:r>
      <w:proofErr w:type="spellStart"/>
      <w:r>
        <w:rPr>
          <w:rFonts w:ascii="Arial" w:hAnsi="Arial"/>
          <w:color w:val="auto"/>
          <w:sz w:val="20"/>
          <w:szCs w:val="20"/>
        </w:rPr>
        <w:t>Simex</w:t>
      </w:r>
      <w:proofErr w:type="spellEnd"/>
      <w:r>
        <w:rPr>
          <w:rFonts w:ascii="Arial" w:hAnsi="Arial"/>
          <w:color w:val="auto"/>
          <w:sz w:val="20"/>
          <w:szCs w:val="20"/>
        </w:rPr>
        <w:t xml:space="preserve"> (</w:t>
      </w:r>
      <w:hyperlink r:id="rId49" w:history="1">
        <w:r>
          <w:rPr>
            <w:rStyle w:val="Hyperlink"/>
            <w:rFonts w:ascii="Arial" w:hAnsi="Arial"/>
            <w:color w:val="0000FF"/>
            <w:sz w:val="20"/>
            <w:szCs w:val="20"/>
          </w:rPr>
          <w:t>Master Template</w:t>
        </w:r>
      </w:hyperlink>
      <w:r>
        <w:rPr>
          <w:rFonts w:ascii="Arial" w:hAnsi="Arial"/>
          <w:color w:val="auto"/>
          <w:sz w:val="20"/>
          <w:szCs w:val="20"/>
        </w:rPr>
        <w:t>/Scénario-</w:t>
      </w:r>
      <w:r>
        <w:rPr>
          <w:rFonts w:ascii="Arial" w:hAnsi="Arial"/>
          <w:i/>
          <w:color w:val="FF0000"/>
          <w:sz w:val="20"/>
          <w:szCs w:val="20"/>
        </w:rPr>
        <w:t xml:space="preserve"> </w:t>
      </w:r>
      <w:hyperlink r:id="rId50" w:history="1">
        <w:proofErr w:type="spellStart"/>
        <w:r>
          <w:rPr>
            <w:rStyle w:val="Hyperlink"/>
            <w:rFonts w:ascii="Arial" w:hAnsi="Arial"/>
            <w:color w:val="0000FF"/>
            <w:sz w:val="20"/>
            <w:szCs w:val="20"/>
          </w:rPr>
          <w:t>Drought</w:t>
        </w:r>
        <w:proofErr w:type="spellEnd"/>
        <w:r>
          <w:rPr>
            <w:rStyle w:val="Hyperlink"/>
            <w:rFonts w:ascii="Arial" w:hAnsi="Arial"/>
            <w:color w:val="0000FF"/>
            <w:sz w:val="20"/>
            <w:szCs w:val="20"/>
          </w:rPr>
          <w:t xml:space="preserve"> (Sécheresse)</w:t>
        </w:r>
      </w:hyperlink>
      <w:r>
        <w:rPr>
          <w:rStyle w:val="Hyperlink"/>
          <w:rFonts w:ascii="Arial" w:hAnsi="Arial"/>
          <w:color w:val="0000FF"/>
          <w:sz w:val="20"/>
          <w:szCs w:val="20"/>
        </w:rPr>
        <w:t xml:space="preserve">, </w:t>
      </w:r>
      <w:hyperlink r:id="rId51" w:history="1">
        <w:proofErr w:type="spellStart"/>
        <w:r>
          <w:rPr>
            <w:rStyle w:val="Hyperlink"/>
            <w:rFonts w:ascii="Arial" w:hAnsi="Arial"/>
            <w:color w:val="0000FF"/>
            <w:sz w:val="20"/>
            <w:szCs w:val="20"/>
          </w:rPr>
          <w:t>Earthquake</w:t>
        </w:r>
        <w:proofErr w:type="spellEnd"/>
        <w:r>
          <w:rPr>
            <w:rStyle w:val="Hyperlink"/>
            <w:rFonts w:ascii="Arial" w:hAnsi="Arial"/>
            <w:color w:val="0000FF"/>
            <w:sz w:val="20"/>
            <w:szCs w:val="20"/>
          </w:rPr>
          <w:t xml:space="preserve"> (Séismes, tremblements de terre)</w:t>
        </w:r>
      </w:hyperlink>
      <w:r>
        <w:rPr>
          <w:rStyle w:val="Hyperlink"/>
          <w:rFonts w:ascii="Arial" w:hAnsi="Arial"/>
          <w:color w:val="0000FF"/>
          <w:sz w:val="20"/>
          <w:szCs w:val="20"/>
        </w:rPr>
        <w:t xml:space="preserve">, </w:t>
      </w:r>
      <w:hyperlink r:id="rId52" w:history="1">
        <w:proofErr w:type="spellStart"/>
        <w:r>
          <w:rPr>
            <w:rStyle w:val="Hyperlink"/>
            <w:rFonts w:ascii="Arial" w:hAnsi="Arial"/>
            <w:color w:val="0000FF"/>
            <w:sz w:val="20"/>
            <w:szCs w:val="20"/>
          </w:rPr>
          <w:t>Epidemic</w:t>
        </w:r>
        <w:proofErr w:type="spellEnd"/>
        <w:r>
          <w:rPr>
            <w:rStyle w:val="Hyperlink"/>
            <w:rFonts w:ascii="Arial" w:hAnsi="Arial"/>
            <w:color w:val="0000FF"/>
            <w:sz w:val="20"/>
            <w:szCs w:val="20"/>
          </w:rPr>
          <w:t xml:space="preserve"> (</w:t>
        </w:r>
        <w:r w:rsidR="001C0292">
          <w:rPr>
            <w:rStyle w:val="Hyperlink"/>
            <w:rFonts w:ascii="Arial" w:hAnsi="Arial"/>
            <w:color w:val="0000FF"/>
            <w:sz w:val="20"/>
            <w:szCs w:val="20"/>
            <w:lang w:val="en-CH"/>
          </w:rPr>
          <w:t>Epi</w:t>
        </w:r>
        <w:proofErr w:type="spellStart"/>
        <w:r>
          <w:rPr>
            <w:rStyle w:val="Hyperlink"/>
            <w:rFonts w:ascii="Arial" w:hAnsi="Arial"/>
            <w:color w:val="0000FF"/>
            <w:sz w:val="20"/>
            <w:szCs w:val="20"/>
          </w:rPr>
          <w:t>démies</w:t>
        </w:r>
        <w:proofErr w:type="spellEnd"/>
        <w:r>
          <w:rPr>
            <w:rStyle w:val="Hyperlink"/>
            <w:rFonts w:ascii="Arial" w:hAnsi="Arial"/>
            <w:color w:val="0000FF"/>
            <w:sz w:val="20"/>
            <w:szCs w:val="20"/>
          </w:rPr>
          <w:t>)</w:t>
        </w:r>
      </w:hyperlink>
      <w:r>
        <w:rPr>
          <w:rStyle w:val="Hyperlink"/>
          <w:rFonts w:ascii="Arial" w:hAnsi="Arial"/>
          <w:color w:val="0000FF"/>
          <w:sz w:val="20"/>
          <w:szCs w:val="20"/>
        </w:rPr>
        <w:t xml:space="preserve">, </w:t>
      </w:r>
      <w:hyperlink r:id="rId53" w:history="1">
        <w:r>
          <w:rPr>
            <w:rStyle w:val="Hyperlink"/>
            <w:rFonts w:ascii="Arial" w:hAnsi="Arial"/>
            <w:color w:val="0000FF"/>
            <w:sz w:val="20"/>
            <w:szCs w:val="20"/>
          </w:rPr>
          <w:t>Flood (Inondations)</w:t>
        </w:r>
      </w:hyperlink>
      <w:r>
        <w:rPr>
          <w:rStyle w:val="Hyperlink"/>
          <w:rFonts w:ascii="Arial" w:hAnsi="Arial"/>
          <w:color w:val="0000FF"/>
          <w:sz w:val="20"/>
          <w:szCs w:val="20"/>
        </w:rPr>
        <w:t xml:space="preserve">, </w:t>
      </w:r>
      <w:hyperlink r:id="rId54" w:history="1">
        <w:r>
          <w:rPr>
            <w:rStyle w:val="Hyperlink"/>
            <w:rFonts w:ascii="Arial" w:hAnsi="Arial"/>
            <w:color w:val="0000FF"/>
            <w:sz w:val="20"/>
            <w:szCs w:val="20"/>
          </w:rPr>
          <w:t>Tsunami</w:t>
        </w:r>
      </w:hyperlink>
      <w:r>
        <w:rPr>
          <w:rFonts w:ascii="Arial" w:hAnsi="Arial"/>
          <w:color w:val="auto"/>
          <w:sz w:val="20"/>
          <w:szCs w:val="20"/>
        </w:rPr>
        <w:t>) et Formation des formateurs (</w:t>
      </w:r>
      <w:r w:rsidRPr="00023848">
        <w:rPr>
          <w:rStyle w:val="Hyperlink"/>
          <w:rFonts w:ascii="Arial" w:hAnsi="Arial"/>
          <w:color w:val="0000FF"/>
          <w:sz w:val="20"/>
          <w:szCs w:val="20"/>
        </w:rPr>
        <w:t>formation de 3 jours</w:t>
      </w:r>
      <w:r>
        <w:rPr>
          <w:rStyle w:val="Hyperlink"/>
          <w:rFonts w:ascii="Arial" w:hAnsi="Arial"/>
          <w:color w:val="0000FF"/>
          <w:sz w:val="20"/>
          <w:szCs w:val="20"/>
        </w:rPr>
        <w:t>/</w:t>
      </w:r>
      <w:r w:rsidRPr="00023848">
        <w:rPr>
          <w:rStyle w:val="Hyperlink"/>
          <w:rFonts w:ascii="Arial" w:hAnsi="Arial"/>
          <w:color w:val="0000FF"/>
          <w:sz w:val="20"/>
          <w:szCs w:val="20"/>
        </w:rPr>
        <w:t>4formation de 4 jours</w:t>
      </w:r>
      <w:r>
        <w:rPr>
          <w:rFonts w:ascii="Arial" w:hAnsi="Arial"/>
          <w:color w:val="auto"/>
          <w:sz w:val="20"/>
          <w:szCs w:val="20"/>
        </w:rPr>
        <w:t>).</w:t>
      </w:r>
    </w:p>
    <w:p w14:paraId="79406CDA" w14:textId="2E497B64" w:rsidR="003E013C" w:rsidRPr="00973F85" w:rsidRDefault="00234D93" w:rsidP="00234D93">
      <w:pPr>
        <w:pStyle w:val="Heading2"/>
        <w:spacing w:before="360"/>
        <w:rPr>
          <w:bCs/>
        </w:rPr>
      </w:pPr>
      <w:bookmarkStart w:id="26" w:name="_Toc59440505"/>
      <w:r>
        <w:rPr>
          <w:noProof/>
          <w:lang w:val="en-GB" w:eastAsia="en-GB"/>
        </w:rPr>
        <w:drawing>
          <wp:anchor distT="0" distB="0" distL="114300" distR="114300" simplePos="0" relativeHeight="251658241" behindDoc="0" locked="0" layoutInCell="1" allowOverlap="1" wp14:anchorId="45169005" wp14:editId="70A5B08D">
            <wp:simplePos x="0" y="0"/>
            <wp:positionH relativeFrom="column">
              <wp:posOffset>2541567</wp:posOffset>
            </wp:positionH>
            <wp:positionV relativeFrom="paragraph">
              <wp:posOffset>66472</wp:posOffset>
            </wp:positionV>
            <wp:extent cx="297180" cy="296545"/>
            <wp:effectExtent l="0" t="0" r="0" b="8255"/>
            <wp:wrapNone/>
            <wp:docPr id="18" name="Picture 141" descr="C:\Users\DMU\Documents\IFRC\PER Archive\Icons PER\PER OCHA icons\Area_5\black_documents\37_noun_Fund_2013997.png">
              <a:hlinkClick xmlns:a="http://schemas.openxmlformats.org/drawingml/2006/main" r:id="rId15"/>
              <a:extLst xmlns:a="http://schemas.openxmlformats.org/drawingml/2006/main">
                <a:ext uri="{FF2B5EF4-FFF2-40B4-BE49-F238E27FC236}">
                  <a16:creationId xmlns:a16="http://schemas.microsoft.com/office/drawing/2014/main" id="{3727D039-E38A-46AD-9988-F616A0EB926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Picture 141" descr="C:\Users\DMU\Documents\IFRC\PER Archive\Icons PER\PER OCHA icons\Area_5\black_documents\37_noun_Fund_2013997.png">
                      <a:extLst>
                        <a:ext uri="{FF2B5EF4-FFF2-40B4-BE49-F238E27FC236}">
                          <a16:creationId xmlns:a16="http://schemas.microsoft.com/office/drawing/2014/main" id="{3727D039-E38A-46AD-9988-F616A0EB926B}"/>
                        </a:ext>
                      </a:extLst>
                    </pic:cNvPr>
                    <pic:cNvPicPr>
                      <a:picLocks/>
                    </pic:cNvPicPr>
                  </pic:nvPicPr>
                  <pic:blipFill rotWithShape="1">
                    <a:blip r:embed="rId55" cstate="print">
                      <a:extLst>
                        <a:ext uri="{28A0092B-C50C-407E-A947-70E740481C1C}">
                          <a14:useLocalDpi xmlns:a14="http://schemas.microsoft.com/office/drawing/2010/main" val="0"/>
                        </a:ext>
                      </a:extLst>
                    </a:blip>
                    <a:srcRect l="13950" t="7859" r="13927" b="13681"/>
                    <a:stretch/>
                  </pic:blipFill>
                  <pic:spPr bwMode="auto">
                    <a:xfrm>
                      <a:off x="0" y="0"/>
                      <a:ext cx="297180" cy="296545"/>
                    </a:xfrm>
                    <a:prstGeom prst="rect">
                      <a:avLst/>
                    </a:prstGeom>
                    <a:noFill/>
                    <a:ln>
                      <a:noFill/>
                    </a:ln>
                    <a:extLst>
                      <a:ext uri="{53640926-AAD7-44D8-BBD7-CCE9431645EC}">
                        <a14:shadowObscured xmlns:a14="http://schemas.microsoft.com/office/drawing/2010/main"/>
                      </a:ext>
                    </a:extLst>
                  </pic:spPr>
                </pic:pic>
              </a:graphicData>
            </a:graphic>
          </wp:anchor>
        </w:drawing>
      </w:r>
      <w:r>
        <w:t>Mobilisation des ressources</w:t>
      </w:r>
      <w:bookmarkEnd w:id="26"/>
      <w:r>
        <w:t xml:space="preserve"> </w:t>
      </w:r>
    </w:p>
    <w:p w14:paraId="379CD51E" w14:textId="60263EEE" w:rsidR="003E013C" w:rsidRPr="00973F85" w:rsidRDefault="003E013C" w:rsidP="003E013C">
      <w:pPr>
        <w:pStyle w:val="Heading3"/>
      </w:pPr>
      <w:bookmarkStart w:id="27" w:name="_Toc59440506"/>
      <w:r>
        <w:t>Exigences budgétaires du plan de préparation de</w:t>
      </w:r>
      <w:r w:rsidR="008708F1">
        <w:t xml:space="preserve"> la</w:t>
      </w:r>
      <w:r>
        <w:t xml:space="preserve"> </w:t>
      </w:r>
      <w:r w:rsidR="00711A83">
        <w:t>Société nationale</w:t>
      </w:r>
      <w:bookmarkEnd w:id="27"/>
    </w:p>
    <w:p w14:paraId="16A8A55C" w14:textId="7B352EAA" w:rsidR="003E013C" w:rsidRPr="0047646C" w:rsidRDefault="003E013C" w:rsidP="003E013C">
      <w:pPr>
        <w:pBdr>
          <w:top w:val="none" w:sz="0" w:space="0" w:color="auto"/>
          <w:left w:val="none" w:sz="0" w:space="0" w:color="auto"/>
          <w:bottom w:val="none" w:sz="0" w:space="0" w:color="auto"/>
          <w:right w:val="none" w:sz="0" w:space="0" w:color="auto"/>
          <w:between w:val="none" w:sz="0" w:space="0" w:color="auto"/>
        </w:pBdr>
        <w:spacing w:after="60"/>
        <w:rPr>
          <w:rFonts w:cs="Arial"/>
          <w:color w:val="auto"/>
          <w:szCs w:val="20"/>
        </w:rPr>
      </w:pPr>
      <w:r>
        <w:rPr>
          <w:color w:val="auto"/>
          <w:szCs w:val="20"/>
        </w:rPr>
        <w:t xml:space="preserve">Expliquez comment la </w:t>
      </w:r>
      <w:r w:rsidR="00711A83">
        <w:rPr>
          <w:color w:val="auto"/>
          <w:szCs w:val="20"/>
        </w:rPr>
        <w:t>Société nationale</w:t>
      </w:r>
      <w:r>
        <w:rPr>
          <w:color w:val="auto"/>
          <w:szCs w:val="20"/>
        </w:rPr>
        <w:t xml:space="preserve"> prévoit d’acquérir les ressources nécessaires pour mettre en œuvre ce plan d’action de préparation. Comme mentionné précédemment pour les risques liés aux conditions météorologiques qui peuvent être prévus, la </w:t>
      </w:r>
      <w:r w:rsidR="00711A83">
        <w:rPr>
          <w:color w:val="auto"/>
          <w:szCs w:val="20"/>
        </w:rPr>
        <w:t>Société nationale</w:t>
      </w:r>
      <w:r>
        <w:rPr>
          <w:color w:val="auto"/>
          <w:szCs w:val="20"/>
        </w:rPr>
        <w:t xml:space="preserve"> peut avoir déjà élaboré un protocole d’action précoce. Les PAP comprennent trois types de coûts : la préparation, le </w:t>
      </w:r>
      <w:r w:rsidR="00252C74">
        <w:rPr>
          <w:color w:val="auto"/>
          <w:szCs w:val="20"/>
        </w:rPr>
        <w:t>pré positionnement</w:t>
      </w:r>
      <w:r>
        <w:rPr>
          <w:color w:val="auto"/>
          <w:szCs w:val="20"/>
        </w:rPr>
        <w:t xml:space="preserve"> et la mise en œuvre de l’action précoce. Une fois que le PAP a été approuvé par </w:t>
      </w:r>
      <w:hyperlink r:id="rId56" w:history="1">
        <w:r>
          <w:rPr>
            <w:rStyle w:val="Hyperlink"/>
            <w:color w:val="0000FF"/>
          </w:rPr>
          <w:t xml:space="preserve">l’Action </w:t>
        </w:r>
        <w:r w:rsidR="008708F1">
          <w:rPr>
            <w:rStyle w:val="Hyperlink"/>
            <w:color w:val="0000FF"/>
          </w:rPr>
          <w:t xml:space="preserve">fondée </w:t>
        </w:r>
        <w:r>
          <w:rPr>
            <w:rStyle w:val="Hyperlink"/>
            <w:color w:val="0000FF"/>
          </w:rPr>
          <w:t>sur les prévisions (</w:t>
        </w:r>
        <w:proofErr w:type="spellStart"/>
        <w:r>
          <w:rPr>
            <w:rStyle w:val="Hyperlink"/>
            <w:color w:val="0000FF"/>
          </w:rPr>
          <w:t>FbA</w:t>
        </w:r>
        <w:proofErr w:type="spellEnd"/>
        <w:r>
          <w:rPr>
            <w:rStyle w:val="Hyperlink"/>
            <w:color w:val="0000FF"/>
          </w:rPr>
          <w:t>) du Fonds d’urgence pour les secours en cas de catastrophe (DREF)</w:t>
        </w:r>
      </w:hyperlink>
      <w:r>
        <w:rPr>
          <w:color w:val="auto"/>
          <w:szCs w:val="20"/>
        </w:rPr>
        <w:t xml:space="preserve">, un financement sera mis à la disposition de la </w:t>
      </w:r>
      <w:r w:rsidR="00711A83">
        <w:rPr>
          <w:color w:val="auto"/>
          <w:szCs w:val="20"/>
        </w:rPr>
        <w:t>Société nationale</w:t>
      </w:r>
      <w:r>
        <w:rPr>
          <w:color w:val="auto"/>
          <w:szCs w:val="20"/>
        </w:rPr>
        <w:t xml:space="preserve"> chaque année pour mener à bien les activités de préparation jugées essentielles pour que la </w:t>
      </w:r>
      <w:r w:rsidR="00711A83">
        <w:rPr>
          <w:color w:val="auto"/>
          <w:szCs w:val="20"/>
        </w:rPr>
        <w:t>Société nationale</w:t>
      </w:r>
      <w:r>
        <w:rPr>
          <w:color w:val="auto"/>
          <w:szCs w:val="20"/>
        </w:rPr>
        <w:t xml:space="preserve"> puisse mettre en œuvre les actions précoces convenues au préalable. C’est l’occasion de s’assurer que les activités de préparation du PAP contribuent </w:t>
      </w:r>
      <w:proofErr w:type="gramStart"/>
      <w:r>
        <w:rPr>
          <w:color w:val="auto"/>
          <w:szCs w:val="20"/>
        </w:rPr>
        <w:t>au</w:t>
      </w:r>
      <w:proofErr w:type="gramEnd"/>
      <w:r>
        <w:rPr>
          <w:color w:val="auto"/>
          <w:szCs w:val="20"/>
        </w:rPr>
        <w:t xml:space="preserve"> plan global de préparation de la </w:t>
      </w:r>
      <w:r w:rsidR="00711A83">
        <w:rPr>
          <w:color w:val="auto"/>
          <w:szCs w:val="20"/>
        </w:rPr>
        <w:t>Société nationale</w:t>
      </w:r>
      <w:r>
        <w:rPr>
          <w:color w:val="auto"/>
          <w:szCs w:val="20"/>
        </w:rPr>
        <w:t xml:space="preserve">. L’ensemble du processus </w:t>
      </w:r>
      <w:proofErr w:type="spellStart"/>
      <w:r>
        <w:rPr>
          <w:color w:val="auto"/>
          <w:szCs w:val="20"/>
        </w:rPr>
        <w:t>FbF</w:t>
      </w:r>
      <w:proofErr w:type="spellEnd"/>
      <w:r>
        <w:rPr>
          <w:color w:val="auto"/>
          <w:szCs w:val="20"/>
        </w:rPr>
        <w:t xml:space="preserve"> est décrit dans le </w:t>
      </w:r>
      <w:hyperlink r:id="rId57" w:history="1">
        <w:r>
          <w:rPr>
            <w:rStyle w:val="Hyperlink"/>
            <w:color w:val="0000FF"/>
          </w:rPr>
          <w:t xml:space="preserve">manuel </w:t>
        </w:r>
        <w:proofErr w:type="spellStart"/>
        <w:r>
          <w:rPr>
            <w:rStyle w:val="Hyperlink"/>
            <w:color w:val="0000FF"/>
          </w:rPr>
          <w:t>FbF</w:t>
        </w:r>
        <w:proofErr w:type="spellEnd"/>
      </w:hyperlink>
      <w:r>
        <w:rPr>
          <w:color w:val="auto"/>
          <w:szCs w:val="20"/>
        </w:rPr>
        <w:t xml:space="preserve">. </w:t>
      </w:r>
    </w:p>
    <w:p w14:paraId="5EDC7C82" w14:textId="224691B3" w:rsidR="003E013C" w:rsidRPr="0047646C" w:rsidRDefault="0047646C" w:rsidP="003E013C">
      <w:pPr>
        <w:pBdr>
          <w:top w:val="none" w:sz="0" w:space="0" w:color="auto"/>
          <w:left w:val="none" w:sz="0" w:space="0" w:color="auto"/>
          <w:bottom w:val="none" w:sz="0" w:space="0" w:color="auto"/>
          <w:right w:val="none" w:sz="0" w:space="0" w:color="auto"/>
          <w:between w:val="none" w:sz="0" w:space="0" w:color="auto"/>
        </w:pBdr>
        <w:spacing w:after="60"/>
        <w:rPr>
          <w:rFonts w:cs="Arial"/>
          <w:color w:val="auto"/>
          <w:szCs w:val="20"/>
        </w:rPr>
      </w:pPr>
      <w:r>
        <w:rPr>
          <w:color w:val="auto"/>
          <w:szCs w:val="20"/>
        </w:rPr>
        <w:t>Sur la base des objectifs définis dans les tableaux du plan opérationnel et budgétaire de votre intervention (dans le document « </w:t>
      </w:r>
      <w:r w:rsidRPr="00A221D9">
        <w:rPr>
          <w:b/>
          <w:i/>
          <w:color w:val="auto"/>
          <w:szCs w:val="20"/>
        </w:rPr>
        <w:t xml:space="preserve">Modèle </w:t>
      </w:r>
      <w:r w:rsidR="008708F1" w:rsidRPr="00A221D9">
        <w:rPr>
          <w:b/>
          <w:i/>
          <w:color w:val="auto"/>
          <w:szCs w:val="20"/>
        </w:rPr>
        <w:t xml:space="preserve">de Plan de </w:t>
      </w:r>
      <w:proofErr w:type="gramStart"/>
      <w:r w:rsidR="008708F1" w:rsidRPr="00A221D9">
        <w:rPr>
          <w:b/>
          <w:i/>
          <w:color w:val="auto"/>
          <w:szCs w:val="20"/>
        </w:rPr>
        <w:t>Contingence</w:t>
      </w:r>
      <w:r>
        <w:rPr>
          <w:color w:val="auto"/>
          <w:szCs w:val="20"/>
        </w:rPr>
        <w:t>»</w:t>
      </w:r>
      <w:proofErr w:type="gramEnd"/>
      <w:r>
        <w:rPr>
          <w:color w:val="auto"/>
          <w:szCs w:val="20"/>
        </w:rPr>
        <w:t xml:space="preserve">), détaillez tous les besoins à couvrir dans votre plan de préparation. Voir les éléments pouvant être inclus dans les activités de routine et le budget </w:t>
      </w:r>
      <w:r w:rsidR="00A221D9">
        <w:rPr>
          <w:color w:val="auto"/>
          <w:szCs w:val="20"/>
        </w:rPr>
        <w:t xml:space="preserve">usuel </w:t>
      </w:r>
      <w:r>
        <w:rPr>
          <w:color w:val="auto"/>
          <w:szCs w:val="20"/>
        </w:rPr>
        <w:t xml:space="preserve">de votre </w:t>
      </w:r>
      <w:r w:rsidR="00711A83">
        <w:rPr>
          <w:color w:val="auto"/>
          <w:szCs w:val="20"/>
        </w:rPr>
        <w:t>Société nationale</w:t>
      </w:r>
      <w:r>
        <w:rPr>
          <w:color w:val="auto"/>
          <w:szCs w:val="20"/>
        </w:rPr>
        <w:t>.</w:t>
      </w:r>
    </w:p>
    <w:p w14:paraId="4BA16902" w14:textId="77777777" w:rsidR="003E013C" w:rsidRPr="0047646C" w:rsidRDefault="003E013C" w:rsidP="003E013C">
      <w:pPr>
        <w:pBdr>
          <w:top w:val="none" w:sz="0" w:space="0" w:color="auto"/>
          <w:left w:val="none" w:sz="0" w:space="0" w:color="auto"/>
          <w:bottom w:val="none" w:sz="0" w:space="0" w:color="auto"/>
          <w:right w:val="none" w:sz="0" w:space="0" w:color="auto"/>
          <w:between w:val="none" w:sz="0" w:space="0" w:color="auto"/>
        </w:pBdr>
        <w:spacing w:after="60"/>
        <w:rPr>
          <w:rFonts w:cs="Arial"/>
          <w:color w:val="auto"/>
          <w:szCs w:val="20"/>
        </w:rPr>
      </w:pPr>
    </w:p>
    <w:tbl>
      <w:tblPr>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082"/>
        <w:gridCol w:w="1413"/>
        <w:gridCol w:w="1274"/>
        <w:gridCol w:w="1335"/>
        <w:gridCol w:w="1403"/>
        <w:gridCol w:w="1410"/>
      </w:tblGrid>
      <w:tr w:rsidR="00227AE2" w:rsidRPr="00973F85" w14:paraId="7F83C45B" w14:textId="77777777" w:rsidTr="002E2E62">
        <w:trPr>
          <w:trHeight w:val="117"/>
          <w:tblHeader/>
          <w:jc w:val="center"/>
        </w:trPr>
        <w:tc>
          <w:tcPr>
            <w:tcW w:w="3114" w:type="dxa"/>
            <w:shd w:val="clear" w:color="auto" w:fill="D9D9D9"/>
            <w:vAlign w:val="center"/>
          </w:tcPr>
          <w:p w14:paraId="3CE303CC" w14:textId="7E199C01" w:rsidR="00227AE2" w:rsidRPr="00973F85" w:rsidRDefault="00227AE2" w:rsidP="007B3A4B">
            <w:pPr>
              <w:pBdr>
                <w:top w:val="none" w:sz="0" w:space="0" w:color="auto"/>
                <w:left w:val="none" w:sz="0" w:space="0" w:color="auto"/>
                <w:bottom w:val="none" w:sz="0" w:space="0" w:color="auto"/>
                <w:right w:val="none" w:sz="0" w:space="0" w:color="auto"/>
                <w:between w:val="none" w:sz="0" w:space="0" w:color="auto"/>
              </w:pBdr>
              <w:spacing w:after="0"/>
              <w:ind w:right="142"/>
              <w:jc w:val="center"/>
              <w:rPr>
                <w:rFonts w:cs="Arial"/>
                <w:bCs/>
                <w:i/>
                <w:color w:val="auto"/>
                <w:sz w:val="18"/>
                <w:szCs w:val="18"/>
              </w:rPr>
            </w:pPr>
            <w:r>
              <w:rPr>
                <w:b/>
                <w:bCs/>
                <w:smallCaps/>
                <w:szCs w:val="20"/>
              </w:rPr>
              <w:t xml:space="preserve">Actions des </w:t>
            </w:r>
            <w:r w:rsidR="00711A83">
              <w:rPr>
                <w:b/>
                <w:bCs/>
                <w:smallCaps/>
                <w:szCs w:val="20"/>
              </w:rPr>
              <w:t>Sociétés nationales</w:t>
            </w:r>
            <w:r>
              <w:rPr>
                <w:b/>
                <w:bCs/>
                <w:smallCaps/>
                <w:szCs w:val="20"/>
              </w:rPr>
              <w:t xml:space="preserve"> pour la préparation</w:t>
            </w:r>
          </w:p>
        </w:tc>
        <w:tc>
          <w:tcPr>
            <w:tcW w:w="1418" w:type="dxa"/>
            <w:shd w:val="clear" w:color="auto" w:fill="D9D9D9"/>
            <w:vAlign w:val="center"/>
          </w:tcPr>
          <w:p w14:paraId="6C1573F6" w14:textId="3B9975E7" w:rsidR="00227AE2" w:rsidRPr="00973F85" w:rsidRDefault="00227AE2" w:rsidP="007B3A4B">
            <w:pPr>
              <w:pBdr>
                <w:top w:val="none" w:sz="0" w:space="0" w:color="auto"/>
                <w:left w:val="none" w:sz="0" w:space="0" w:color="auto"/>
                <w:bottom w:val="none" w:sz="0" w:space="0" w:color="auto"/>
                <w:right w:val="none" w:sz="0" w:space="0" w:color="auto"/>
                <w:between w:val="none" w:sz="0" w:space="0" w:color="auto"/>
              </w:pBdr>
              <w:spacing w:after="0"/>
              <w:jc w:val="center"/>
              <w:rPr>
                <w:rFonts w:cs="Arial"/>
                <w:bCs/>
                <w:i/>
                <w:color w:val="auto"/>
                <w:sz w:val="18"/>
                <w:szCs w:val="18"/>
              </w:rPr>
            </w:pPr>
            <w:r>
              <w:rPr>
                <w:b/>
                <w:bCs/>
                <w:smallCaps/>
              </w:rPr>
              <w:t>Ressources existantes</w:t>
            </w:r>
          </w:p>
        </w:tc>
        <w:tc>
          <w:tcPr>
            <w:tcW w:w="1276" w:type="dxa"/>
            <w:shd w:val="clear" w:color="auto" w:fill="D9D9D9"/>
            <w:vAlign w:val="center"/>
          </w:tcPr>
          <w:p w14:paraId="0E0E8FD1" w14:textId="094CF564" w:rsidR="00227AE2" w:rsidRPr="00973F85" w:rsidRDefault="00227AE2" w:rsidP="007B3A4B">
            <w:pPr>
              <w:pBdr>
                <w:top w:val="none" w:sz="0" w:space="0" w:color="auto"/>
                <w:left w:val="none" w:sz="0" w:space="0" w:color="auto"/>
                <w:bottom w:val="none" w:sz="0" w:space="0" w:color="auto"/>
                <w:right w:val="none" w:sz="0" w:space="0" w:color="auto"/>
                <w:between w:val="none" w:sz="0" w:space="0" w:color="auto"/>
              </w:pBdr>
              <w:spacing w:after="0"/>
              <w:jc w:val="center"/>
              <w:rPr>
                <w:rFonts w:cs="Arial"/>
                <w:bCs/>
                <w:i/>
                <w:color w:val="auto"/>
                <w:sz w:val="18"/>
                <w:szCs w:val="18"/>
              </w:rPr>
            </w:pPr>
            <w:r>
              <w:rPr>
                <w:b/>
                <w:bCs/>
                <w:smallCaps/>
              </w:rPr>
              <w:t>Ressources ciblées</w:t>
            </w:r>
          </w:p>
        </w:tc>
        <w:tc>
          <w:tcPr>
            <w:tcW w:w="1276" w:type="dxa"/>
            <w:shd w:val="clear" w:color="auto" w:fill="D9D9D9"/>
            <w:vAlign w:val="center"/>
          </w:tcPr>
          <w:p w14:paraId="5FB00AAF" w14:textId="686EA1F7" w:rsidR="00227AE2" w:rsidRPr="00973F85" w:rsidRDefault="00227AE2" w:rsidP="007B3A4B">
            <w:pPr>
              <w:pBdr>
                <w:top w:val="none" w:sz="0" w:space="0" w:color="auto"/>
                <w:left w:val="none" w:sz="0" w:space="0" w:color="auto"/>
                <w:bottom w:val="none" w:sz="0" w:space="0" w:color="auto"/>
                <w:right w:val="none" w:sz="0" w:space="0" w:color="auto"/>
                <w:between w:val="none" w:sz="0" w:space="0" w:color="auto"/>
              </w:pBdr>
              <w:spacing w:after="0"/>
              <w:jc w:val="center"/>
              <w:rPr>
                <w:rFonts w:cs="Arial"/>
                <w:bCs/>
                <w:i/>
                <w:color w:val="auto"/>
                <w:sz w:val="18"/>
                <w:szCs w:val="18"/>
              </w:rPr>
            </w:pPr>
            <w:r>
              <w:rPr>
                <w:b/>
                <w:bCs/>
                <w:smallCaps/>
              </w:rPr>
              <w:t>Lacune/Écart</w:t>
            </w:r>
          </w:p>
        </w:tc>
        <w:tc>
          <w:tcPr>
            <w:tcW w:w="1416" w:type="dxa"/>
            <w:shd w:val="clear" w:color="auto" w:fill="D9D9D9"/>
            <w:vAlign w:val="center"/>
          </w:tcPr>
          <w:p w14:paraId="28D6C6C0" w14:textId="77487A1C" w:rsidR="00227AE2" w:rsidRPr="00973F85" w:rsidRDefault="00227AE2" w:rsidP="007B3A4B">
            <w:pPr>
              <w:pBdr>
                <w:top w:val="none" w:sz="0" w:space="0" w:color="auto"/>
                <w:left w:val="none" w:sz="0" w:space="0" w:color="auto"/>
                <w:bottom w:val="none" w:sz="0" w:space="0" w:color="auto"/>
                <w:right w:val="none" w:sz="0" w:space="0" w:color="auto"/>
                <w:between w:val="none" w:sz="0" w:space="0" w:color="auto"/>
              </w:pBdr>
              <w:spacing w:after="0"/>
              <w:jc w:val="center"/>
              <w:rPr>
                <w:rFonts w:cs="Arial"/>
                <w:bCs/>
                <w:i/>
                <w:color w:val="auto"/>
                <w:sz w:val="18"/>
                <w:szCs w:val="18"/>
              </w:rPr>
            </w:pPr>
            <w:r>
              <w:rPr>
                <w:b/>
                <w:bCs/>
                <w:smallCaps/>
              </w:rPr>
              <w:t xml:space="preserve">Budget </w:t>
            </w:r>
            <w:r>
              <w:rPr>
                <w:b/>
                <w:bCs/>
                <w:smallCaps/>
                <w:sz w:val="16"/>
                <w:szCs w:val="16"/>
              </w:rPr>
              <w:t>(devise locale)</w:t>
            </w:r>
          </w:p>
        </w:tc>
        <w:tc>
          <w:tcPr>
            <w:tcW w:w="1417" w:type="dxa"/>
            <w:shd w:val="clear" w:color="auto" w:fill="D9D9D9"/>
            <w:vAlign w:val="center"/>
          </w:tcPr>
          <w:p w14:paraId="52937F34" w14:textId="32818E44" w:rsidR="00227AE2" w:rsidRPr="00973F85" w:rsidRDefault="00227AE2" w:rsidP="007B3A4B">
            <w:pPr>
              <w:pBdr>
                <w:top w:val="none" w:sz="0" w:space="0" w:color="auto"/>
                <w:left w:val="none" w:sz="0" w:space="0" w:color="auto"/>
                <w:bottom w:val="none" w:sz="0" w:space="0" w:color="auto"/>
                <w:right w:val="none" w:sz="0" w:space="0" w:color="auto"/>
                <w:between w:val="none" w:sz="0" w:space="0" w:color="auto"/>
              </w:pBdr>
              <w:spacing w:after="0"/>
              <w:jc w:val="center"/>
              <w:rPr>
                <w:rFonts w:cs="Arial"/>
                <w:bCs/>
                <w:i/>
                <w:color w:val="auto"/>
                <w:sz w:val="18"/>
                <w:szCs w:val="18"/>
              </w:rPr>
            </w:pPr>
            <w:r>
              <w:rPr>
                <w:b/>
                <w:bCs/>
                <w:smallCaps/>
              </w:rPr>
              <w:t xml:space="preserve">Budget </w:t>
            </w:r>
            <w:r>
              <w:rPr>
                <w:b/>
                <w:bCs/>
                <w:smallCaps/>
                <w:sz w:val="16"/>
                <w:szCs w:val="16"/>
              </w:rPr>
              <w:t>(</w:t>
            </w:r>
            <w:proofErr w:type="spellStart"/>
            <w:r>
              <w:rPr>
                <w:b/>
                <w:bCs/>
                <w:smallCaps/>
                <w:sz w:val="16"/>
                <w:szCs w:val="16"/>
              </w:rPr>
              <w:t>chf</w:t>
            </w:r>
            <w:proofErr w:type="spellEnd"/>
            <w:r>
              <w:rPr>
                <w:b/>
                <w:bCs/>
                <w:smallCaps/>
                <w:sz w:val="16"/>
                <w:szCs w:val="16"/>
              </w:rPr>
              <w:t>/</w:t>
            </w:r>
            <w:proofErr w:type="spellStart"/>
            <w:r>
              <w:rPr>
                <w:b/>
                <w:bCs/>
                <w:smallCaps/>
                <w:sz w:val="16"/>
                <w:szCs w:val="16"/>
              </w:rPr>
              <w:t>eur</w:t>
            </w:r>
            <w:proofErr w:type="spellEnd"/>
            <w:r>
              <w:rPr>
                <w:b/>
                <w:bCs/>
                <w:smallCaps/>
                <w:sz w:val="16"/>
                <w:szCs w:val="16"/>
              </w:rPr>
              <w:t>/</w:t>
            </w:r>
            <w:proofErr w:type="spellStart"/>
            <w:r>
              <w:rPr>
                <w:b/>
                <w:bCs/>
                <w:smallCaps/>
                <w:sz w:val="16"/>
                <w:szCs w:val="16"/>
              </w:rPr>
              <w:t>usd</w:t>
            </w:r>
            <w:proofErr w:type="spellEnd"/>
            <w:r>
              <w:rPr>
                <w:b/>
                <w:bCs/>
                <w:smallCaps/>
                <w:sz w:val="16"/>
                <w:szCs w:val="16"/>
              </w:rPr>
              <w:t>)</w:t>
            </w:r>
          </w:p>
        </w:tc>
      </w:tr>
      <w:tr w:rsidR="00227AE2" w:rsidRPr="00973F85" w14:paraId="15521877" w14:textId="77777777" w:rsidTr="002E2E62">
        <w:trPr>
          <w:trHeight w:val="117"/>
          <w:jc w:val="center"/>
        </w:trPr>
        <w:tc>
          <w:tcPr>
            <w:tcW w:w="8500" w:type="dxa"/>
            <w:gridSpan w:val="5"/>
            <w:shd w:val="clear" w:color="auto" w:fill="DDD9C3"/>
          </w:tcPr>
          <w:p w14:paraId="0CCF4EB0"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rPr>
            </w:pPr>
            <w:r>
              <w:rPr>
                <w:bCs/>
                <w:i/>
                <w:color w:val="auto"/>
                <w:sz w:val="18"/>
                <w:szCs w:val="18"/>
              </w:rPr>
              <w:t>Structure et gestion</w:t>
            </w:r>
          </w:p>
        </w:tc>
        <w:tc>
          <w:tcPr>
            <w:tcW w:w="1417" w:type="dxa"/>
            <w:shd w:val="clear" w:color="auto" w:fill="DDD9C3"/>
          </w:tcPr>
          <w:p w14:paraId="080A7C60"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p>
        </w:tc>
      </w:tr>
      <w:tr w:rsidR="00227AE2" w:rsidRPr="00FF5635" w14:paraId="6B11D1B6" w14:textId="77777777" w:rsidTr="002E2E62">
        <w:trPr>
          <w:trHeight w:val="71"/>
          <w:jc w:val="center"/>
        </w:trPr>
        <w:tc>
          <w:tcPr>
            <w:tcW w:w="3114" w:type="dxa"/>
            <w:shd w:val="clear" w:color="auto" w:fill="FFFFFF"/>
            <w:tcMar>
              <w:top w:w="72" w:type="dxa"/>
              <w:left w:w="144" w:type="dxa"/>
              <w:bottom w:w="72" w:type="dxa"/>
              <w:right w:w="144" w:type="dxa"/>
            </w:tcMar>
            <w:hideMark/>
          </w:tcPr>
          <w:p w14:paraId="09813971" w14:textId="77777777" w:rsidR="00227AE2" w:rsidRPr="00FF563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6"/>
                <w:szCs w:val="16"/>
              </w:rPr>
            </w:pPr>
            <w:r>
              <w:rPr>
                <w:bCs/>
                <w:color w:val="auto"/>
                <w:sz w:val="16"/>
                <w:szCs w:val="16"/>
              </w:rPr>
              <w:t>Activité 1 :</w:t>
            </w:r>
          </w:p>
          <w:p w14:paraId="3D855DF9" w14:textId="77777777" w:rsidR="00227AE2" w:rsidRPr="00FF563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6"/>
                <w:szCs w:val="16"/>
              </w:rPr>
            </w:pPr>
            <w:r>
              <w:rPr>
                <w:bCs/>
                <w:color w:val="auto"/>
                <w:sz w:val="16"/>
                <w:szCs w:val="16"/>
              </w:rPr>
              <w:t>Activité 2...</w:t>
            </w:r>
          </w:p>
        </w:tc>
        <w:tc>
          <w:tcPr>
            <w:tcW w:w="1418" w:type="dxa"/>
            <w:shd w:val="clear" w:color="auto" w:fill="FFFFFF"/>
          </w:tcPr>
          <w:p w14:paraId="4072DC98" w14:textId="77777777" w:rsidR="00227AE2" w:rsidRPr="00FF563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6"/>
                <w:szCs w:val="16"/>
                <w:lang w:eastAsia="en-US"/>
              </w:rPr>
            </w:pPr>
          </w:p>
        </w:tc>
        <w:tc>
          <w:tcPr>
            <w:tcW w:w="1276" w:type="dxa"/>
            <w:shd w:val="clear" w:color="auto" w:fill="FFFFFF"/>
          </w:tcPr>
          <w:p w14:paraId="11858378" w14:textId="77777777" w:rsidR="00227AE2" w:rsidRPr="00FF563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6"/>
                <w:szCs w:val="16"/>
                <w:lang w:eastAsia="en-US"/>
              </w:rPr>
            </w:pPr>
          </w:p>
        </w:tc>
        <w:tc>
          <w:tcPr>
            <w:tcW w:w="1276" w:type="dxa"/>
            <w:shd w:val="clear" w:color="auto" w:fill="FFFFFF"/>
            <w:tcMar>
              <w:top w:w="72" w:type="dxa"/>
              <w:left w:w="144" w:type="dxa"/>
              <w:bottom w:w="72" w:type="dxa"/>
              <w:right w:w="144" w:type="dxa"/>
            </w:tcMar>
            <w:hideMark/>
          </w:tcPr>
          <w:p w14:paraId="4A115AAD" w14:textId="77777777" w:rsidR="00227AE2" w:rsidRPr="00FF563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6"/>
                <w:szCs w:val="16"/>
                <w:lang w:eastAsia="en-US"/>
              </w:rPr>
            </w:pPr>
          </w:p>
        </w:tc>
        <w:tc>
          <w:tcPr>
            <w:tcW w:w="1416" w:type="dxa"/>
            <w:shd w:val="clear" w:color="auto" w:fill="FFFFFF"/>
            <w:tcMar>
              <w:top w:w="72" w:type="dxa"/>
              <w:left w:w="144" w:type="dxa"/>
              <w:bottom w:w="72" w:type="dxa"/>
              <w:right w:w="144" w:type="dxa"/>
            </w:tcMar>
            <w:hideMark/>
          </w:tcPr>
          <w:p w14:paraId="16D06EA6" w14:textId="77777777" w:rsidR="00227AE2" w:rsidRPr="00FF563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6"/>
                <w:szCs w:val="16"/>
                <w:lang w:eastAsia="en-US"/>
              </w:rPr>
            </w:pPr>
          </w:p>
        </w:tc>
        <w:tc>
          <w:tcPr>
            <w:tcW w:w="1417" w:type="dxa"/>
            <w:shd w:val="clear" w:color="auto" w:fill="FFFFFF"/>
          </w:tcPr>
          <w:p w14:paraId="55319AF0" w14:textId="77777777" w:rsidR="00227AE2" w:rsidRPr="00FF563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6"/>
                <w:szCs w:val="16"/>
                <w:lang w:eastAsia="en-US"/>
              </w:rPr>
            </w:pPr>
          </w:p>
        </w:tc>
      </w:tr>
      <w:tr w:rsidR="00227AE2" w:rsidRPr="00973F85" w14:paraId="671BAA38" w14:textId="77777777" w:rsidTr="002E2E62">
        <w:trPr>
          <w:trHeight w:val="186"/>
          <w:jc w:val="center"/>
        </w:trPr>
        <w:tc>
          <w:tcPr>
            <w:tcW w:w="8500" w:type="dxa"/>
            <w:gridSpan w:val="5"/>
            <w:shd w:val="clear" w:color="auto" w:fill="DDD9C3"/>
          </w:tcPr>
          <w:p w14:paraId="25A71BDE" w14:textId="43A25066" w:rsidR="00227AE2" w:rsidRPr="00973F85" w:rsidRDefault="00227AE2" w:rsidP="00A221D9">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rPr>
            </w:pPr>
            <w:r>
              <w:rPr>
                <w:bCs/>
                <w:i/>
                <w:color w:val="auto"/>
                <w:sz w:val="18"/>
                <w:szCs w:val="18"/>
              </w:rPr>
              <w:t xml:space="preserve">Planification et soutien opérationnels (y compris les sous-rubriques pour chaque secteur technique et unité de </w:t>
            </w:r>
            <w:r w:rsidR="00A221D9">
              <w:rPr>
                <w:bCs/>
                <w:i/>
                <w:color w:val="auto"/>
                <w:sz w:val="18"/>
                <w:szCs w:val="18"/>
              </w:rPr>
              <w:t>support</w:t>
            </w:r>
            <w:r>
              <w:rPr>
                <w:bCs/>
                <w:i/>
                <w:color w:val="auto"/>
                <w:sz w:val="18"/>
                <w:szCs w:val="18"/>
              </w:rPr>
              <w:t>)</w:t>
            </w:r>
          </w:p>
        </w:tc>
        <w:tc>
          <w:tcPr>
            <w:tcW w:w="1417" w:type="dxa"/>
            <w:shd w:val="clear" w:color="auto" w:fill="DDD9C3"/>
          </w:tcPr>
          <w:p w14:paraId="16E4EB18"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p>
        </w:tc>
      </w:tr>
      <w:tr w:rsidR="00227AE2" w:rsidRPr="00973F85" w14:paraId="243DDE82" w14:textId="77777777" w:rsidTr="002E2E62">
        <w:trPr>
          <w:trHeight w:val="28"/>
          <w:jc w:val="center"/>
        </w:trPr>
        <w:tc>
          <w:tcPr>
            <w:tcW w:w="3114" w:type="dxa"/>
            <w:shd w:val="clear" w:color="auto" w:fill="FFFFFF"/>
            <w:tcMar>
              <w:top w:w="72" w:type="dxa"/>
              <w:left w:w="144" w:type="dxa"/>
              <w:bottom w:w="72" w:type="dxa"/>
              <w:right w:w="144" w:type="dxa"/>
            </w:tcMar>
          </w:tcPr>
          <w:p w14:paraId="2B5E1085"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cs="Arial"/>
                <w:i/>
                <w:color w:val="auto"/>
                <w:sz w:val="18"/>
                <w:szCs w:val="18"/>
                <w:lang w:eastAsia="en-US"/>
              </w:rPr>
            </w:pPr>
          </w:p>
        </w:tc>
        <w:tc>
          <w:tcPr>
            <w:tcW w:w="1418" w:type="dxa"/>
            <w:shd w:val="clear" w:color="auto" w:fill="FFFFFF"/>
          </w:tcPr>
          <w:p w14:paraId="52AC808D"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p>
        </w:tc>
        <w:tc>
          <w:tcPr>
            <w:tcW w:w="1276" w:type="dxa"/>
            <w:shd w:val="clear" w:color="auto" w:fill="FFFFFF"/>
          </w:tcPr>
          <w:p w14:paraId="3ECC90F1"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p>
        </w:tc>
        <w:tc>
          <w:tcPr>
            <w:tcW w:w="1276" w:type="dxa"/>
            <w:shd w:val="clear" w:color="auto" w:fill="FFFFFF"/>
            <w:tcMar>
              <w:top w:w="72" w:type="dxa"/>
              <w:left w:w="144" w:type="dxa"/>
              <w:bottom w:w="72" w:type="dxa"/>
              <w:right w:w="144" w:type="dxa"/>
            </w:tcMar>
          </w:tcPr>
          <w:p w14:paraId="48E140B9"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p>
        </w:tc>
        <w:tc>
          <w:tcPr>
            <w:tcW w:w="1416" w:type="dxa"/>
            <w:shd w:val="clear" w:color="auto" w:fill="FFFFFF"/>
            <w:tcMar>
              <w:top w:w="72" w:type="dxa"/>
              <w:left w:w="144" w:type="dxa"/>
              <w:bottom w:w="72" w:type="dxa"/>
              <w:right w:w="144" w:type="dxa"/>
            </w:tcMar>
          </w:tcPr>
          <w:p w14:paraId="047CC484"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p>
        </w:tc>
        <w:tc>
          <w:tcPr>
            <w:tcW w:w="1417" w:type="dxa"/>
            <w:shd w:val="clear" w:color="auto" w:fill="FFFFFF"/>
          </w:tcPr>
          <w:p w14:paraId="418B9E1F"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p>
        </w:tc>
      </w:tr>
      <w:tr w:rsidR="00227AE2" w:rsidRPr="00973F85" w14:paraId="50917357" w14:textId="77777777" w:rsidTr="002E2E62">
        <w:trPr>
          <w:trHeight w:val="114"/>
          <w:jc w:val="center"/>
        </w:trPr>
        <w:tc>
          <w:tcPr>
            <w:tcW w:w="8500" w:type="dxa"/>
            <w:gridSpan w:val="5"/>
            <w:shd w:val="clear" w:color="auto" w:fill="DDD9C3"/>
          </w:tcPr>
          <w:p w14:paraId="748DF37F"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rPr>
            </w:pPr>
            <w:r>
              <w:rPr>
                <w:bCs/>
                <w:i/>
                <w:color w:val="auto"/>
                <w:sz w:val="18"/>
                <w:szCs w:val="18"/>
              </w:rPr>
              <w:t>Information et rapports</w:t>
            </w:r>
          </w:p>
        </w:tc>
        <w:tc>
          <w:tcPr>
            <w:tcW w:w="1417" w:type="dxa"/>
            <w:shd w:val="clear" w:color="auto" w:fill="DDD9C3"/>
          </w:tcPr>
          <w:p w14:paraId="04C339EA"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p>
        </w:tc>
      </w:tr>
      <w:tr w:rsidR="00227AE2" w:rsidRPr="00973F85" w14:paraId="4C84B008" w14:textId="77777777" w:rsidTr="002E2E62">
        <w:trPr>
          <w:trHeight w:val="28"/>
          <w:jc w:val="center"/>
        </w:trPr>
        <w:tc>
          <w:tcPr>
            <w:tcW w:w="3114" w:type="dxa"/>
            <w:shd w:val="clear" w:color="auto" w:fill="FFFFFF"/>
            <w:tcMar>
              <w:top w:w="72" w:type="dxa"/>
              <w:left w:w="144" w:type="dxa"/>
              <w:bottom w:w="72" w:type="dxa"/>
              <w:right w:w="144" w:type="dxa"/>
            </w:tcMar>
            <w:hideMark/>
          </w:tcPr>
          <w:p w14:paraId="7702A652"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418" w:type="dxa"/>
            <w:shd w:val="clear" w:color="auto" w:fill="FFFFFF"/>
          </w:tcPr>
          <w:p w14:paraId="3BB39033"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276" w:type="dxa"/>
            <w:shd w:val="clear" w:color="auto" w:fill="FFFFFF"/>
          </w:tcPr>
          <w:p w14:paraId="72AFCA78"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276" w:type="dxa"/>
            <w:shd w:val="clear" w:color="auto" w:fill="FFFFFF"/>
            <w:tcMar>
              <w:top w:w="72" w:type="dxa"/>
              <w:left w:w="144" w:type="dxa"/>
              <w:bottom w:w="72" w:type="dxa"/>
              <w:right w:w="144" w:type="dxa"/>
            </w:tcMar>
            <w:hideMark/>
          </w:tcPr>
          <w:p w14:paraId="5CF7448B"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416" w:type="dxa"/>
            <w:shd w:val="clear" w:color="auto" w:fill="FFFFFF"/>
            <w:tcMar>
              <w:top w:w="72" w:type="dxa"/>
              <w:left w:w="144" w:type="dxa"/>
              <w:bottom w:w="72" w:type="dxa"/>
              <w:right w:w="144" w:type="dxa"/>
            </w:tcMar>
            <w:hideMark/>
          </w:tcPr>
          <w:p w14:paraId="150D7884"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417" w:type="dxa"/>
            <w:shd w:val="clear" w:color="auto" w:fill="FFFFFF"/>
          </w:tcPr>
          <w:p w14:paraId="40D528A2"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r>
      <w:tr w:rsidR="00227AE2" w:rsidRPr="00973F85" w14:paraId="11A882EE" w14:textId="77777777" w:rsidTr="002E2E62">
        <w:trPr>
          <w:trHeight w:val="42"/>
          <w:jc w:val="center"/>
        </w:trPr>
        <w:tc>
          <w:tcPr>
            <w:tcW w:w="8500" w:type="dxa"/>
            <w:gridSpan w:val="5"/>
            <w:shd w:val="clear" w:color="auto" w:fill="DDD9C3"/>
          </w:tcPr>
          <w:p w14:paraId="1962134D"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rPr>
            </w:pPr>
            <w:r>
              <w:rPr>
                <w:bCs/>
                <w:i/>
                <w:color w:val="auto"/>
                <w:sz w:val="18"/>
                <w:szCs w:val="18"/>
              </w:rPr>
              <w:t>Mobilisation des ressources</w:t>
            </w:r>
          </w:p>
        </w:tc>
        <w:tc>
          <w:tcPr>
            <w:tcW w:w="1417" w:type="dxa"/>
            <w:shd w:val="clear" w:color="auto" w:fill="DDD9C3"/>
          </w:tcPr>
          <w:p w14:paraId="628B3621"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p>
        </w:tc>
      </w:tr>
      <w:tr w:rsidR="00227AE2" w:rsidRPr="00973F85" w14:paraId="603EA0FB" w14:textId="77777777" w:rsidTr="002E2E62">
        <w:trPr>
          <w:trHeight w:val="28"/>
          <w:jc w:val="center"/>
        </w:trPr>
        <w:tc>
          <w:tcPr>
            <w:tcW w:w="3114" w:type="dxa"/>
            <w:shd w:val="clear" w:color="auto" w:fill="FFFFFF"/>
            <w:tcMar>
              <w:top w:w="72" w:type="dxa"/>
              <w:left w:w="144" w:type="dxa"/>
              <w:bottom w:w="72" w:type="dxa"/>
              <w:right w:w="144" w:type="dxa"/>
            </w:tcMar>
          </w:tcPr>
          <w:p w14:paraId="08B3B05E"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cs="Arial"/>
                <w:i/>
                <w:color w:val="auto"/>
                <w:sz w:val="18"/>
                <w:szCs w:val="18"/>
                <w:lang w:eastAsia="en-US"/>
              </w:rPr>
            </w:pPr>
          </w:p>
        </w:tc>
        <w:tc>
          <w:tcPr>
            <w:tcW w:w="1418" w:type="dxa"/>
            <w:shd w:val="clear" w:color="auto" w:fill="FFFFFF"/>
          </w:tcPr>
          <w:p w14:paraId="7081B9B2"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109"/>
              <w:jc w:val="left"/>
              <w:rPr>
                <w:rFonts w:cs="Arial"/>
                <w:i/>
                <w:color w:val="auto"/>
                <w:sz w:val="18"/>
                <w:szCs w:val="18"/>
                <w:lang w:eastAsia="en-US"/>
              </w:rPr>
            </w:pPr>
          </w:p>
        </w:tc>
        <w:tc>
          <w:tcPr>
            <w:tcW w:w="1276" w:type="dxa"/>
            <w:shd w:val="clear" w:color="auto" w:fill="FFFFFF"/>
          </w:tcPr>
          <w:p w14:paraId="3BBDE0AB"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53" w:right="-164"/>
              <w:jc w:val="left"/>
              <w:rPr>
                <w:rFonts w:cs="Arial"/>
                <w:i/>
                <w:color w:val="auto"/>
                <w:sz w:val="18"/>
                <w:szCs w:val="18"/>
                <w:lang w:eastAsia="en-US"/>
              </w:rPr>
            </w:pPr>
          </w:p>
        </w:tc>
        <w:tc>
          <w:tcPr>
            <w:tcW w:w="1276" w:type="dxa"/>
            <w:shd w:val="clear" w:color="auto" w:fill="FFFFFF"/>
            <w:tcMar>
              <w:top w:w="72" w:type="dxa"/>
              <w:left w:w="144" w:type="dxa"/>
              <w:bottom w:w="72" w:type="dxa"/>
              <w:right w:w="144" w:type="dxa"/>
            </w:tcMar>
          </w:tcPr>
          <w:p w14:paraId="7E60D576"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53" w:right="-164"/>
              <w:jc w:val="left"/>
              <w:rPr>
                <w:rFonts w:cs="Arial"/>
                <w:i/>
                <w:color w:val="auto"/>
                <w:sz w:val="18"/>
                <w:szCs w:val="18"/>
                <w:lang w:eastAsia="en-US"/>
              </w:rPr>
            </w:pPr>
          </w:p>
        </w:tc>
        <w:tc>
          <w:tcPr>
            <w:tcW w:w="1416" w:type="dxa"/>
            <w:shd w:val="clear" w:color="auto" w:fill="FFFFFF"/>
            <w:tcMar>
              <w:top w:w="72" w:type="dxa"/>
              <w:left w:w="144" w:type="dxa"/>
              <w:bottom w:w="72" w:type="dxa"/>
              <w:right w:w="144" w:type="dxa"/>
            </w:tcMar>
          </w:tcPr>
          <w:p w14:paraId="63EA0BCC"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7" w:right="-164"/>
              <w:jc w:val="left"/>
              <w:rPr>
                <w:rFonts w:cs="Arial"/>
                <w:i/>
                <w:color w:val="auto"/>
                <w:sz w:val="18"/>
                <w:szCs w:val="18"/>
                <w:lang w:eastAsia="en-US"/>
              </w:rPr>
            </w:pPr>
          </w:p>
        </w:tc>
        <w:tc>
          <w:tcPr>
            <w:tcW w:w="1417" w:type="dxa"/>
            <w:shd w:val="clear" w:color="auto" w:fill="FFFFFF"/>
          </w:tcPr>
          <w:p w14:paraId="24D37BBC"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7" w:right="-164"/>
              <w:jc w:val="left"/>
              <w:rPr>
                <w:rFonts w:cs="Arial"/>
                <w:i/>
                <w:color w:val="auto"/>
                <w:sz w:val="18"/>
                <w:szCs w:val="18"/>
                <w:lang w:eastAsia="en-US"/>
              </w:rPr>
            </w:pPr>
          </w:p>
        </w:tc>
      </w:tr>
      <w:tr w:rsidR="00227AE2" w:rsidRPr="00973F85" w14:paraId="2D92D6BE" w14:textId="77777777" w:rsidTr="002E2E62">
        <w:trPr>
          <w:trHeight w:val="267"/>
          <w:jc w:val="center"/>
        </w:trPr>
        <w:tc>
          <w:tcPr>
            <w:tcW w:w="8500" w:type="dxa"/>
            <w:gridSpan w:val="5"/>
            <w:shd w:val="clear" w:color="auto" w:fill="DDD9C3"/>
          </w:tcPr>
          <w:p w14:paraId="5DB2942D" w14:textId="44F32781" w:rsidR="00227AE2" w:rsidRPr="00973F85" w:rsidRDefault="00227AE2" w:rsidP="00A221D9">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rPr>
            </w:pPr>
            <w:r>
              <w:rPr>
                <w:bCs/>
                <w:i/>
                <w:color w:val="auto"/>
                <w:sz w:val="18"/>
                <w:szCs w:val="18"/>
              </w:rPr>
              <w:t xml:space="preserve">Capacité de </w:t>
            </w:r>
            <w:r w:rsidR="00A221D9">
              <w:rPr>
                <w:bCs/>
                <w:i/>
                <w:color w:val="auto"/>
                <w:sz w:val="18"/>
                <w:szCs w:val="18"/>
              </w:rPr>
              <w:t xml:space="preserve">renfort </w:t>
            </w:r>
            <w:r>
              <w:rPr>
                <w:bCs/>
                <w:i/>
                <w:color w:val="auto"/>
                <w:sz w:val="18"/>
                <w:szCs w:val="18"/>
              </w:rPr>
              <w:t>(nationale, régionale et mondiale, en fonction des besoins)</w:t>
            </w:r>
          </w:p>
        </w:tc>
        <w:tc>
          <w:tcPr>
            <w:tcW w:w="1417" w:type="dxa"/>
            <w:shd w:val="clear" w:color="auto" w:fill="DDD9C3"/>
          </w:tcPr>
          <w:p w14:paraId="26EB57C5"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p>
        </w:tc>
      </w:tr>
      <w:tr w:rsidR="00227AE2" w:rsidRPr="00973F85" w14:paraId="470C701D" w14:textId="77777777" w:rsidTr="002E2E62">
        <w:trPr>
          <w:trHeight w:val="28"/>
          <w:jc w:val="center"/>
        </w:trPr>
        <w:tc>
          <w:tcPr>
            <w:tcW w:w="3114" w:type="dxa"/>
            <w:shd w:val="clear" w:color="auto" w:fill="FFFFFF"/>
            <w:tcMar>
              <w:top w:w="72" w:type="dxa"/>
              <w:left w:w="144" w:type="dxa"/>
              <w:bottom w:w="72" w:type="dxa"/>
              <w:right w:w="144" w:type="dxa"/>
            </w:tcMar>
            <w:hideMark/>
          </w:tcPr>
          <w:p w14:paraId="7544F702"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418" w:type="dxa"/>
            <w:shd w:val="clear" w:color="auto" w:fill="FFFFFF"/>
          </w:tcPr>
          <w:p w14:paraId="71C50C92"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276" w:type="dxa"/>
            <w:shd w:val="clear" w:color="auto" w:fill="FFFFFF"/>
          </w:tcPr>
          <w:p w14:paraId="2F803F31"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276" w:type="dxa"/>
            <w:shd w:val="clear" w:color="auto" w:fill="FFFFFF"/>
            <w:tcMar>
              <w:top w:w="72" w:type="dxa"/>
              <w:left w:w="144" w:type="dxa"/>
              <w:bottom w:w="72" w:type="dxa"/>
              <w:right w:w="144" w:type="dxa"/>
            </w:tcMar>
            <w:hideMark/>
          </w:tcPr>
          <w:p w14:paraId="660501E8"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416" w:type="dxa"/>
            <w:shd w:val="clear" w:color="auto" w:fill="FFFFFF"/>
            <w:tcMar>
              <w:top w:w="72" w:type="dxa"/>
              <w:left w:w="144" w:type="dxa"/>
              <w:bottom w:w="72" w:type="dxa"/>
              <w:right w:w="144" w:type="dxa"/>
            </w:tcMar>
            <w:hideMark/>
          </w:tcPr>
          <w:p w14:paraId="69270994"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417" w:type="dxa"/>
            <w:shd w:val="clear" w:color="auto" w:fill="FFFFFF"/>
          </w:tcPr>
          <w:p w14:paraId="19A76CFA"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r>
      <w:tr w:rsidR="00227AE2" w:rsidRPr="00973F85" w14:paraId="7A07A5A5" w14:textId="77777777" w:rsidTr="002E2E62">
        <w:trPr>
          <w:trHeight w:val="295"/>
          <w:jc w:val="center"/>
        </w:trPr>
        <w:tc>
          <w:tcPr>
            <w:tcW w:w="8500" w:type="dxa"/>
            <w:gridSpan w:val="5"/>
            <w:shd w:val="clear" w:color="auto" w:fill="DDD9C3"/>
          </w:tcPr>
          <w:p w14:paraId="4335D257" w14:textId="681F8340" w:rsidR="00227AE2" w:rsidRPr="00973F85" w:rsidRDefault="00227AE2" w:rsidP="008708F1">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rPr>
            </w:pPr>
            <w:r>
              <w:rPr>
                <w:bCs/>
                <w:i/>
                <w:color w:val="auto"/>
                <w:sz w:val="18"/>
                <w:szCs w:val="18"/>
              </w:rPr>
              <w:t xml:space="preserve">Coordination </w:t>
            </w:r>
            <w:r w:rsidR="008708F1">
              <w:rPr>
                <w:bCs/>
                <w:i/>
                <w:color w:val="auto"/>
                <w:sz w:val="18"/>
                <w:szCs w:val="18"/>
              </w:rPr>
              <w:t>du M</w:t>
            </w:r>
            <w:r>
              <w:rPr>
                <w:bCs/>
                <w:i/>
                <w:color w:val="auto"/>
                <w:sz w:val="18"/>
                <w:szCs w:val="18"/>
              </w:rPr>
              <w:t>ouvement et diplomatie humanitaire</w:t>
            </w:r>
          </w:p>
        </w:tc>
        <w:tc>
          <w:tcPr>
            <w:tcW w:w="1417" w:type="dxa"/>
            <w:shd w:val="clear" w:color="auto" w:fill="DDD9C3"/>
          </w:tcPr>
          <w:p w14:paraId="02D32A3A"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p>
        </w:tc>
      </w:tr>
      <w:tr w:rsidR="00227AE2" w:rsidRPr="00973F85" w14:paraId="01426F00" w14:textId="77777777" w:rsidTr="002E2E62">
        <w:trPr>
          <w:trHeight w:val="28"/>
          <w:jc w:val="center"/>
        </w:trPr>
        <w:tc>
          <w:tcPr>
            <w:tcW w:w="3114" w:type="dxa"/>
            <w:shd w:val="clear" w:color="auto" w:fill="FFFFFF"/>
            <w:tcMar>
              <w:top w:w="72" w:type="dxa"/>
              <w:left w:w="144" w:type="dxa"/>
              <w:bottom w:w="72" w:type="dxa"/>
              <w:right w:w="144" w:type="dxa"/>
            </w:tcMar>
            <w:hideMark/>
          </w:tcPr>
          <w:p w14:paraId="126A9C17"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418" w:type="dxa"/>
            <w:shd w:val="clear" w:color="auto" w:fill="FFFFFF"/>
          </w:tcPr>
          <w:p w14:paraId="1EF2CD30"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276" w:type="dxa"/>
            <w:shd w:val="clear" w:color="auto" w:fill="FFFFFF"/>
          </w:tcPr>
          <w:p w14:paraId="63B67211"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276" w:type="dxa"/>
            <w:shd w:val="clear" w:color="auto" w:fill="FFFFFF"/>
            <w:tcMar>
              <w:top w:w="72" w:type="dxa"/>
              <w:left w:w="144" w:type="dxa"/>
              <w:bottom w:w="72" w:type="dxa"/>
              <w:right w:w="144" w:type="dxa"/>
            </w:tcMar>
            <w:hideMark/>
          </w:tcPr>
          <w:p w14:paraId="6942E8E4"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416" w:type="dxa"/>
            <w:shd w:val="clear" w:color="auto" w:fill="FFFFFF"/>
            <w:tcMar>
              <w:top w:w="72" w:type="dxa"/>
              <w:left w:w="144" w:type="dxa"/>
              <w:bottom w:w="72" w:type="dxa"/>
              <w:right w:w="144" w:type="dxa"/>
            </w:tcMar>
            <w:hideMark/>
          </w:tcPr>
          <w:p w14:paraId="46ED5030"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417" w:type="dxa"/>
            <w:shd w:val="clear" w:color="auto" w:fill="FFFFFF"/>
          </w:tcPr>
          <w:p w14:paraId="192A27B8"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r>
      <w:tr w:rsidR="00227AE2" w:rsidRPr="00973F85" w14:paraId="1D59D775" w14:textId="77777777" w:rsidTr="002E2E62">
        <w:trPr>
          <w:trHeight w:val="295"/>
          <w:jc w:val="center"/>
        </w:trPr>
        <w:tc>
          <w:tcPr>
            <w:tcW w:w="8500" w:type="dxa"/>
            <w:gridSpan w:val="5"/>
            <w:shd w:val="clear" w:color="auto" w:fill="DDD9C3"/>
          </w:tcPr>
          <w:p w14:paraId="6CA90C78" w14:textId="1BFB1E92"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rPr>
            </w:pPr>
            <w:r>
              <w:rPr>
                <w:bCs/>
                <w:i/>
                <w:color w:val="auto"/>
                <w:sz w:val="18"/>
                <w:szCs w:val="18"/>
              </w:rPr>
              <w:t>Test</w:t>
            </w:r>
            <w:r w:rsidR="00A221D9">
              <w:rPr>
                <w:bCs/>
                <w:i/>
                <w:color w:val="auto"/>
                <w:sz w:val="18"/>
                <w:szCs w:val="18"/>
              </w:rPr>
              <w:t>er</w:t>
            </w:r>
            <w:r>
              <w:rPr>
                <w:bCs/>
                <w:i/>
                <w:color w:val="auto"/>
                <w:sz w:val="18"/>
                <w:szCs w:val="18"/>
              </w:rPr>
              <w:t xml:space="preserve"> et évalu</w:t>
            </w:r>
            <w:r w:rsidR="00A221D9">
              <w:rPr>
                <w:bCs/>
                <w:i/>
                <w:color w:val="auto"/>
                <w:sz w:val="18"/>
                <w:szCs w:val="18"/>
              </w:rPr>
              <w:t>er</w:t>
            </w:r>
            <w:r>
              <w:rPr>
                <w:bCs/>
                <w:i/>
                <w:color w:val="auto"/>
                <w:sz w:val="18"/>
                <w:szCs w:val="18"/>
              </w:rPr>
              <w:t xml:space="preserve"> du plan</w:t>
            </w:r>
          </w:p>
        </w:tc>
        <w:tc>
          <w:tcPr>
            <w:tcW w:w="1417" w:type="dxa"/>
            <w:shd w:val="clear" w:color="auto" w:fill="DDD9C3"/>
          </w:tcPr>
          <w:p w14:paraId="2C503DA6"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p>
        </w:tc>
      </w:tr>
      <w:tr w:rsidR="00227AE2" w:rsidRPr="00973F85" w14:paraId="415ADA70" w14:textId="77777777" w:rsidTr="002E2E62">
        <w:trPr>
          <w:trHeight w:val="28"/>
          <w:jc w:val="center"/>
        </w:trPr>
        <w:tc>
          <w:tcPr>
            <w:tcW w:w="3114" w:type="dxa"/>
            <w:shd w:val="clear" w:color="auto" w:fill="FFFFFF"/>
            <w:tcMar>
              <w:top w:w="72" w:type="dxa"/>
              <w:left w:w="144" w:type="dxa"/>
              <w:bottom w:w="72" w:type="dxa"/>
              <w:right w:w="144" w:type="dxa"/>
            </w:tcMar>
            <w:hideMark/>
          </w:tcPr>
          <w:p w14:paraId="1AAB684A"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418" w:type="dxa"/>
            <w:shd w:val="clear" w:color="auto" w:fill="FFFFFF"/>
          </w:tcPr>
          <w:p w14:paraId="3CCCAEFB"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276" w:type="dxa"/>
            <w:shd w:val="clear" w:color="auto" w:fill="FFFFFF"/>
          </w:tcPr>
          <w:p w14:paraId="1361B3B2"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276" w:type="dxa"/>
            <w:shd w:val="clear" w:color="auto" w:fill="FFFFFF"/>
            <w:tcMar>
              <w:top w:w="72" w:type="dxa"/>
              <w:left w:w="144" w:type="dxa"/>
              <w:bottom w:w="72" w:type="dxa"/>
              <w:right w:w="144" w:type="dxa"/>
            </w:tcMar>
            <w:hideMark/>
          </w:tcPr>
          <w:p w14:paraId="26376558"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416" w:type="dxa"/>
            <w:shd w:val="clear" w:color="auto" w:fill="FFFFFF"/>
            <w:tcMar>
              <w:top w:w="72" w:type="dxa"/>
              <w:left w:w="144" w:type="dxa"/>
              <w:bottom w:w="72" w:type="dxa"/>
              <w:right w:w="144" w:type="dxa"/>
            </w:tcMar>
            <w:hideMark/>
          </w:tcPr>
          <w:p w14:paraId="3637A4DB"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417" w:type="dxa"/>
            <w:shd w:val="clear" w:color="auto" w:fill="FFFFFF"/>
          </w:tcPr>
          <w:p w14:paraId="0FBC2EC4"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r>
    </w:tbl>
    <w:p w14:paraId="557ACE3B" w14:textId="31089419" w:rsidR="003E013C" w:rsidRPr="00973F85" w:rsidRDefault="003E013C" w:rsidP="003E013C">
      <w:pPr>
        <w:pStyle w:val="Heading3"/>
      </w:pPr>
      <w:bookmarkStart w:id="28" w:name="_Toc59440507"/>
      <w:r>
        <w:t xml:space="preserve">Comparaison budgétaire entre la réponse des </w:t>
      </w:r>
      <w:r w:rsidR="00711A83">
        <w:t>Sociétés nationales</w:t>
      </w:r>
      <w:r>
        <w:t xml:space="preserve"> et les plans de préparation</w:t>
      </w:r>
      <w:bookmarkEnd w:id="28"/>
      <w:r>
        <w:t xml:space="preserve"> </w:t>
      </w:r>
    </w:p>
    <w:p w14:paraId="63469B94" w14:textId="25E25CA4" w:rsidR="003E013C" w:rsidRPr="00FF5635" w:rsidRDefault="003E013C" w:rsidP="003E013C">
      <w:pPr>
        <w:pBdr>
          <w:top w:val="none" w:sz="0" w:space="0" w:color="auto"/>
          <w:left w:val="none" w:sz="0" w:space="0" w:color="auto"/>
          <w:bottom w:val="none" w:sz="0" w:space="0" w:color="auto"/>
          <w:right w:val="none" w:sz="0" w:space="0" w:color="auto"/>
          <w:between w:val="none" w:sz="0" w:space="0" w:color="auto"/>
        </w:pBdr>
        <w:spacing w:after="60"/>
        <w:rPr>
          <w:rFonts w:cs="Arial"/>
          <w:color w:val="auto"/>
          <w:szCs w:val="20"/>
        </w:rPr>
      </w:pPr>
      <w:r>
        <w:rPr>
          <w:color w:val="auto"/>
          <w:szCs w:val="20"/>
        </w:rPr>
        <w:t xml:space="preserve">Dans le tableau ci-dessous, vous ne devez donner que les totaux, juste pour résumer les deux tableaux de ressources et donner un aperçu du budget total nécessaire. Vous pourrez ainsi déterminer si les plans d’action de votre </w:t>
      </w:r>
      <w:r w:rsidR="00711A83">
        <w:rPr>
          <w:color w:val="auto"/>
          <w:szCs w:val="20"/>
        </w:rPr>
        <w:t>Société nationale</w:t>
      </w:r>
      <w:r>
        <w:rPr>
          <w:color w:val="auto"/>
          <w:szCs w:val="20"/>
        </w:rPr>
        <w:t xml:space="preserve"> en matière d’intervention et de préparation sont réalistes et liés entre eux ? Mais il s’agit également d’une analyse élémentaire de vos besoins en matière de mobilisation de ressources. Cela pourrait aider votre </w:t>
      </w:r>
      <w:r w:rsidR="00711A83">
        <w:rPr>
          <w:color w:val="auto"/>
          <w:szCs w:val="20"/>
        </w:rPr>
        <w:t>Société nationale</w:t>
      </w:r>
      <w:r>
        <w:rPr>
          <w:color w:val="auto"/>
          <w:szCs w:val="20"/>
        </w:rPr>
        <w:t xml:space="preserve"> dans la collecte de fonds.</w:t>
      </w:r>
    </w:p>
    <w:p w14:paraId="26CB570E" w14:textId="77777777" w:rsidR="003E013C" w:rsidRPr="00FF5635" w:rsidRDefault="003E013C" w:rsidP="003E013C">
      <w:pPr>
        <w:pBdr>
          <w:top w:val="none" w:sz="0" w:space="0" w:color="auto"/>
          <w:left w:val="none" w:sz="0" w:space="0" w:color="auto"/>
          <w:bottom w:val="none" w:sz="0" w:space="0" w:color="auto"/>
          <w:right w:val="none" w:sz="0" w:space="0" w:color="auto"/>
          <w:between w:val="none" w:sz="0" w:space="0" w:color="auto"/>
        </w:pBdr>
        <w:spacing w:after="60"/>
        <w:rPr>
          <w:rFonts w:cs="Arial"/>
          <w:color w:val="auto"/>
          <w:szCs w:val="20"/>
          <w:lang w:eastAsia="en-US"/>
        </w:rPr>
      </w:pPr>
    </w:p>
    <w:tbl>
      <w:tblPr>
        <w:tblStyle w:val="Grilledutableau1"/>
        <w:tblW w:w="0" w:type="auto"/>
        <w:jc w:val="center"/>
        <w:tblLook w:val="04A0" w:firstRow="1" w:lastRow="0" w:firstColumn="1" w:lastColumn="0" w:noHBand="0" w:noVBand="1"/>
      </w:tblPr>
      <w:tblGrid>
        <w:gridCol w:w="3080"/>
        <w:gridCol w:w="3081"/>
        <w:gridCol w:w="3081"/>
      </w:tblGrid>
      <w:tr w:rsidR="003E013C" w:rsidRPr="00973F85" w14:paraId="6CD36C74" w14:textId="77777777" w:rsidTr="002E2E62">
        <w:trPr>
          <w:trHeight w:val="233"/>
          <w:jc w:val="center"/>
        </w:trPr>
        <w:tc>
          <w:tcPr>
            <w:tcW w:w="3080" w:type="dxa"/>
            <w:tcBorders>
              <w:top w:val="nil"/>
              <w:left w:val="nil"/>
              <w:bottom w:val="single" w:sz="4" w:space="0" w:color="auto"/>
              <w:right w:val="single" w:sz="4" w:space="0" w:color="auto"/>
            </w:tcBorders>
          </w:tcPr>
          <w:p w14:paraId="61D78934" w14:textId="77777777" w:rsidR="003E013C" w:rsidRPr="00973F85" w:rsidRDefault="003E013C" w:rsidP="00227AE2">
            <w:pPr>
              <w:spacing w:after="60"/>
              <w:rPr>
                <w:smallCaps/>
                <w:szCs w:val="20"/>
              </w:rPr>
            </w:pPr>
          </w:p>
        </w:tc>
        <w:tc>
          <w:tcPr>
            <w:tcW w:w="3081" w:type="dxa"/>
            <w:tcBorders>
              <w:left w:val="single" w:sz="4" w:space="0" w:color="auto"/>
            </w:tcBorders>
            <w:shd w:val="clear" w:color="auto" w:fill="D9D9D9"/>
            <w:vAlign w:val="center"/>
          </w:tcPr>
          <w:p w14:paraId="24B776EB" w14:textId="77777777" w:rsidR="003E013C" w:rsidRPr="00973F85" w:rsidRDefault="003E013C" w:rsidP="00227AE2">
            <w:pPr>
              <w:spacing w:after="60"/>
              <w:jc w:val="center"/>
              <w:rPr>
                <w:b/>
                <w:bCs/>
                <w:smallCaps/>
                <w:szCs w:val="20"/>
              </w:rPr>
            </w:pPr>
            <w:r>
              <w:rPr>
                <w:b/>
                <w:bCs/>
                <w:smallCaps/>
              </w:rPr>
              <w:t xml:space="preserve">Budget </w:t>
            </w:r>
            <w:r>
              <w:rPr>
                <w:b/>
                <w:bCs/>
                <w:smallCaps/>
                <w:sz w:val="16"/>
                <w:szCs w:val="16"/>
              </w:rPr>
              <w:t>(devise locale)</w:t>
            </w:r>
          </w:p>
        </w:tc>
        <w:tc>
          <w:tcPr>
            <w:tcW w:w="3081" w:type="dxa"/>
            <w:shd w:val="clear" w:color="auto" w:fill="D9D9D9"/>
            <w:vAlign w:val="center"/>
          </w:tcPr>
          <w:p w14:paraId="2D59E5D8" w14:textId="77777777" w:rsidR="003E013C" w:rsidRPr="00973F85" w:rsidRDefault="003E013C" w:rsidP="00227AE2">
            <w:pPr>
              <w:spacing w:after="60"/>
              <w:jc w:val="center"/>
              <w:rPr>
                <w:b/>
                <w:bCs/>
                <w:smallCaps/>
                <w:szCs w:val="20"/>
              </w:rPr>
            </w:pPr>
            <w:r>
              <w:rPr>
                <w:b/>
                <w:bCs/>
                <w:smallCaps/>
              </w:rPr>
              <w:t xml:space="preserve">Budget </w:t>
            </w:r>
            <w:r>
              <w:rPr>
                <w:b/>
                <w:bCs/>
                <w:smallCaps/>
                <w:sz w:val="16"/>
                <w:szCs w:val="16"/>
              </w:rPr>
              <w:t>(</w:t>
            </w:r>
            <w:proofErr w:type="spellStart"/>
            <w:r>
              <w:rPr>
                <w:b/>
                <w:bCs/>
                <w:smallCaps/>
                <w:sz w:val="16"/>
                <w:szCs w:val="16"/>
              </w:rPr>
              <w:t>chf</w:t>
            </w:r>
            <w:proofErr w:type="spellEnd"/>
            <w:r>
              <w:rPr>
                <w:b/>
                <w:bCs/>
                <w:smallCaps/>
                <w:sz w:val="16"/>
                <w:szCs w:val="16"/>
              </w:rPr>
              <w:t>/</w:t>
            </w:r>
            <w:proofErr w:type="spellStart"/>
            <w:r>
              <w:rPr>
                <w:b/>
                <w:bCs/>
                <w:smallCaps/>
                <w:sz w:val="16"/>
                <w:szCs w:val="16"/>
              </w:rPr>
              <w:t>eur</w:t>
            </w:r>
            <w:proofErr w:type="spellEnd"/>
            <w:r>
              <w:rPr>
                <w:b/>
                <w:bCs/>
                <w:smallCaps/>
                <w:sz w:val="16"/>
                <w:szCs w:val="16"/>
              </w:rPr>
              <w:t>/</w:t>
            </w:r>
            <w:proofErr w:type="spellStart"/>
            <w:r>
              <w:rPr>
                <w:b/>
                <w:bCs/>
                <w:smallCaps/>
                <w:sz w:val="16"/>
                <w:szCs w:val="16"/>
              </w:rPr>
              <w:t>usd</w:t>
            </w:r>
            <w:proofErr w:type="spellEnd"/>
            <w:r>
              <w:rPr>
                <w:b/>
                <w:bCs/>
                <w:smallCaps/>
                <w:sz w:val="16"/>
                <w:szCs w:val="16"/>
              </w:rPr>
              <w:t>)</w:t>
            </w:r>
          </w:p>
        </w:tc>
      </w:tr>
      <w:tr w:rsidR="003E013C" w:rsidRPr="00973F85" w14:paraId="580F66B1" w14:textId="77777777" w:rsidTr="002E2E62">
        <w:trPr>
          <w:trHeight w:val="209"/>
          <w:jc w:val="center"/>
        </w:trPr>
        <w:tc>
          <w:tcPr>
            <w:tcW w:w="3080" w:type="dxa"/>
            <w:tcBorders>
              <w:top w:val="single" w:sz="4" w:space="0" w:color="auto"/>
            </w:tcBorders>
            <w:shd w:val="clear" w:color="auto" w:fill="DDD9C3"/>
            <w:vAlign w:val="center"/>
          </w:tcPr>
          <w:p w14:paraId="05F487F1" w14:textId="77777777" w:rsidR="003E013C" w:rsidRPr="00973F85" w:rsidRDefault="003E013C" w:rsidP="00227AE2">
            <w:pPr>
              <w:spacing w:after="60"/>
              <w:rPr>
                <w:b/>
                <w:bCs/>
                <w:szCs w:val="20"/>
              </w:rPr>
            </w:pPr>
            <w:r>
              <w:rPr>
                <w:b/>
                <w:bCs/>
                <w:szCs w:val="20"/>
              </w:rPr>
              <w:t>Activités de préparation</w:t>
            </w:r>
          </w:p>
        </w:tc>
        <w:tc>
          <w:tcPr>
            <w:tcW w:w="3081" w:type="dxa"/>
          </w:tcPr>
          <w:p w14:paraId="110FEE50" w14:textId="77777777" w:rsidR="003E013C" w:rsidRPr="00973F85" w:rsidRDefault="003E013C" w:rsidP="00227AE2">
            <w:pPr>
              <w:spacing w:after="60"/>
              <w:rPr>
                <w:szCs w:val="20"/>
              </w:rPr>
            </w:pPr>
          </w:p>
        </w:tc>
        <w:tc>
          <w:tcPr>
            <w:tcW w:w="3081" w:type="dxa"/>
          </w:tcPr>
          <w:p w14:paraId="2B362AA9" w14:textId="77777777" w:rsidR="003E013C" w:rsidRPr="00973F85" w:rsidRDefault="003E013C" w:rsidP="00227AE2">
            <w:pPr>
              <w:spacing w:after="60"/>
              <w:rPr>
                <w:szCs w:val="20"/>
              </w:rPr>
            </w:pPr>
          </w:p>
        </w:tc>
      </w:tr>
      <w:tr w:rsidR="003E013C" w:rsidRPr="00973F85" w14:paraId="6C8F5AC4" w14:textId="77777777" w:rsidTr="002E2E62">
        <w:trPr>
          <w:trHeight w:val="199"/>
          <w:jc w:val="center"/>
        </w:trPr>
        <w:tc>
          <w:tcPr>
            <w:tcW w:w="3080" w:type="dxa"/>
            <w:shd w:val="clear" w:color="auto" w:fill="DDD9C3"/>
            <w:vAlign w:val="center"/>
          </w:tcPr>
          <w:p w14:paraId="61E37136" w14:textId="77777777" w:rsidR="003E013C" w:rsidRPr="00973F85" w:rsidRDefault="003E013C" w:rsidP="00227AE2">
            <w:pPr>
              <w:spacing w:after="60"/>
              <w:rPr>
                <w:b/>
                <w:bCs/>
                <w:szCs w:val="20"/>
              </w:rPr>
            </w:pPr>
            <w:r>
              <w:rPr>
                <w:b/>
                <w:bCs/>
                <w:szCs w:val="20"/>
              </w:rPr>
              <w:t>Activités de réponse</w:t>
            </w:r>
          </w:p>
        </w:tc>
        <w:tc>
          <w:tcPr>
            <w:tcW w:w="3081" w:type="dxa"/>
          </w:tcPr>
          <w:p w14:paraId="6D7B0772" w14:textId="77777777" w:rsidR="003E013C" w:rsidRPr="00973F85" w:rsidRDefault="003E013C" w:rsidP="00227AE2">
            <w:pPr>
              <w:spacing w:after="60"/>
              <w:rPr>
                <w:szCs w:val="20"/>
              </w:rPr>
            </w:pPr>
          </w:p>
        </w:tc>
        <w:tc>
          <w:tcPr>
            <w:tcW w:w="3081" w:type="dxa"/>
          </w:tcPr>
          <w:p w14:paraId="23D990A9" w14:textId="77777777" w:rsidR="003E013C" w:rsidRPr="00973F85" w:rsidRDefault="003E013C" w:rsidP="00227AE2">
            <w:pPr>
              <w:spacing w:after="60"/>
              <w:rPr>
                <w:szCs w:val="20"/>
              </w:rPr>
            </w:pPr>
          </w:p>
        </w:tc>
      </w:tr>
      <w:tr w:rsidR="003E013C" w:rsidRPr="00973F85" w14:paraId="55E686E0" w14:textId="77777777" w:rsidTr="002E2E62">
        <w:trPr>
          <w:trHeight w:val="70"/>
          <w:jc w:val="center"/>
        </w:trPr>
        <w:tc>
          <w:tcPr>
            <w:tcW w:w="3080" w:type="dxa"/>
            <w:shd w:val="clear" w:color="auto" w:fill="DDD9C3"/>
            <w:vAlign w:val="center"/>
          </w:tcPr>
          <w:p w14:paraId="5299F3F5" w14:textId="77777777" w:rsidR="003E013C" w:rsidRPr="00973F85" w:rsidRDefault="003E013C" w:rsidP="00227AE2">
            <w:pPr>
              <w:spacing w:after="60"/>
              <w:rPr>
                <w:b/>
                <w:bCs/>
                <w:szCs w:val="20"/>
              </w:rPr>
            </w:pPr>
            <w:r>
              <w:rPr>
                <w:b/>
                <w:bCs/>
                <w:szCs w:val="20"/>
              </w:rPr>
              <w:t>Total</w:t>
            </w:r>
          </w:p>
        </w:tc>
        <w:tc>
          <w:tcPr>
            <w:tcW w:w="3081" w:type="dxa"/>
          </w:tcPr>
          <w:p w14:paraId="7730E76D" w14:textId="77777777" w:rsidR="003E013C" w:rsidRPr="00973F85" w:rsidRDefault="003E013C" w:rsidP="00227AE2">
            <w:pPr>
              <w:spacing w:after="60"/>
              <w:rPr>
                <w:b/>
                <w:bCs/>
                <w:szCs w:val="20"/>
              </w:rPr>
            </w:pPr>
          </w:p>
        </w:tc>
        <w:tc>
          <w:tcPr>
            <w:tcW w:w="3081" w:type="dxa"/>
          </w:tcPr>
          <w:p w14:paraId="2A2B303E" w14:textId="77777777" w:rsidR="003E013C" w:rsidRPr="00973F85" w:rsidRDefault="003E013C" w:rsidP="00227AE2">
            <w:pPr>
              <w:spacing w:after="60"/>
              <w:rPr>
                <w:b/>
                <w:bCs/>
                <w:szCs w:val="20"/>
              </w:rPr>
            </w:pPr>
          </w:p>
        </w:tc>
      </w:tr>
    </w:tbl>
    <w:p w14:paraId="732B6F12" w14:textId="77777777" w:rsidR="00FF5635" w:rsidRPr="00FF5635" w:rsidRDefault="00FF5635" w:rsidP="00FF5635">
      <w:r>
        <w:br w:type="page"/>
      </w:r>
    </w:p>
    <w:p w14:paraId="7386398F" w14:textId="630A3B96" w:rsidR="00FF5635" w:rsidRDefault="00FF5635" w:rsidP="00CC2FCC">
      <w:pPr>
        <w:pStyle w:val="Heading1"/>
      </w:pPr>
      <w:bookmarkStart w:id="29" w:name="_Toc59440508"/>
      <w:r>
        <w:lastRenderedPageBreak/>
        <w:t xml:space="preserve">Annexe 3 - Outils de la phase </w:t>
      </w:r>
      <w:bookmarkEnd w:id="29"/>
      <w:r w:rsidR="00FD0C65">
        <w:t>de révision</w:t>
      </w:r>
    </w:p>
    <w:p w14:paraId="17CC55FC" w14:textId="40ED6939" w:rsidR="00973F85" w:rsidRDefault="00BB5915" w:rsidP="00234D93">
      <w:pPr>
        <w:pStyle w:val="Heading2"/>
        <w:spacing w:before="360"/>
        <w:rPr>
          <w:noProof/>
        </w:rPr>
      </w:pPr>
      <w:bookmarkStart w:id="30" w:name="_Toc59440509"/>
      <w:r>
        <w:t xml:space="preserve">Évaluation du plan </w:t>
      </w:r>
      <w:bookmarkEnd w:id="13"/>
      <w:r>
        <w:rPr>
          <w:noProof/>
          <w:lang w:val="en-GB" w:eastAsia="en-GB"/>
        </w:rPr>
        <w:drawing>
          <wp:anchor distT="0" distB="0" distL="114300" distR="114300" simplePos="0" relativeHeight="251658242" behindDoc="0" locked="0" layoutInCell="1" allowOverlap="1" wp14:anchorId="33FD6449" wp14:editId="1BD5B5FC">
            <wp:simplePos x="0" y="0"/>
            <wp:positionH relativeFrom="column">
              <wp:posOffset>1681480</wp:posOffset>
            </wp:positionH>
            <wp:positionV relativeFrom="paragraph">
              <wp:posOffset>28575</wp:posOffset>
            </wp:positionV>
            <wp:extent cx="372110" cy="368300"/>
            <wp:effectExtent l="0" t="0" r="8890" b="0"/>
            <wp:wrapNone/>
            <wp:docPr id="128" name="Picture 127" descr="C:\Users\DMU\Documents\IFRC\PER Archive\Icons PER\PER OCHA icons\Area_5\black_documents\31_noun_analysis_2009644.png">
              <a:hlinkClick xmlns:a="http://schemas.openxmlformats.org/drawingml/2006/main" r:id="rId15"/>
              <a:extLst xmlns:a="http://schemas.openxmlformats.org/drawingml/2006/main">
                <a:ext uri="{FF2B5EF4-FFF2-40B4-BE49-F238E27FC236}">
                  <a16:creationId xmlns:a16="http://schemas.microsoft.com/office/drawing/2014/main" id="{E718F6DA-3884-4D94-8DDF-15EDC5FB524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Picture 127" descr="C:\Users\DMU\Documents\IFRC\PER Archive\Icons PER\PER OCHA icons\Area_5\black_documents\31_noun_analysis_2009644.png">
                      <a:extLst>
                        <a:ext uri="{FF2B5EF4-FFF2-40B4-BE49-F238E27FC236}">
                          <a16:creationId xmlns:a16="http://schemas.microsoft.com/office/drawing/2014/main" id="{E718F6DA-3884-4D94-8DDF-15EDC5FB5242}"/>
                        </a:ext>
                      </a:extLst>
                    </pic:cNvPr>
                    <pic:cNvPicPr>
                      <a:picLocks/>
                    </pic:cNvPicPr>
                  </pic:nvPicPr>
                  <pic:blipFill rotWithShape="1">
                    <a:blip r:embed="rId58" cstate="print">
                      <a:extLst>
                        <a:ext uri="{28A0092B-C50C-407E-A947-70E740481C1C}">
                          <a14:useLocalDpi xmlns:a14="http://schemas.microsoft.com/office/drawing/2010/main" val="0"/>
                        </a:ext>
                      </a:extLst>
                    </a:blip>
                    <a:srcRect l="11919" t="11217" r="10977" b="13388"/>
                    <a:stretch/>
                  </pic:blipFill>
                  <pic:spPr bwMode="auto">
                    <a:xfrm>
                      <a:off x="0" y="0"/>
                      <a:ext cx="372110" cy="368300"/>
                    </a:xfrm>
                    <a:prstGeom prst="rect">
                      <a:avLst/>
                    </a:prstGeom>
                    <a:noFill/>
                    <a:ln>
                      <a:noFill/>
                    </a:ln>
                    <a:extLst>
                      <a:ext uri="{53640926-AAD7-44D8-BBD7-CCE9431645EC}">
                        <a14:shadowObscured xmlns:a14="http://schemas.microsoft.com/office/drawing/2010/main"/>
                      </a:ext>
                    </a:extLst>
                  </pic:spPr>
                </pic:pic>
              </a:graphicData>
            </a:graphic>
          </wp:anchor>
        </w:drawing>
      </w:r>
      <w:bookmarkEnd w:id="30"/>
    </w:p>
    <w:p w14:paraId="622E660C" w14:textId="0672B095" w:rsidR="00973F85" w:rsidRPr="00FF5635" w:rsidRDefault="00973F85" w:rsidP="00973F85">
      <w:pPr>
        <w:pStyle w:val="Default"/>
        <w:jc w:val="both"/>
        <w:rPr>
          <w:rFonts w:ascii="Arial" w:hAnsi="Arial" w:cs="Arial"/>
          <w:color w:val="auto"/>
          <w:sz w:val="20"/>
          <w:szCs w:val="20"/>
        </w:rPr>
      </w:pPr>
      <w:r>
        <w:rPr>
          <w:rFonts w:ascii="Arial" w:hAnsi="Arial"/>
          <w:color w:val="auto"/>
          <w:sz w:val="20"/>
          <w:szCs w:val="20"/>
        </w:rPr>
        <w:t xml:space="preserve">Définissez la manière dont votre </w:t>
      </w:r>
      <w:r w:rsidR="00711A83">
        <w:rPr>
          <w:rFonts w:ascii="Arial" w:hAnsi="Arial"/>
          <w:color w:val="auto"/>
          <w:sz w:val="20"/>
          <w:szCs w:val="20"/>
        </w:rPr>
        <w:t>Société nationale</w:t>
      </w:r>
      <w:r>
        <w:rPr>
          <w:rFonts w:ascii="Arial" w:hAnsi="Arial"/>
          <w:color w:val="auto"/>
          <w:sz w:val="20"/>
          <w:szCs w:val="20"/>
        </w:rPr>
        <w:t xml:space="preserve"> souhaite évaluer le plan :</w:t>
      </w:r>
    </w:p>
    <w:p w14:paraId="290DBD57" w14:textId="6EEA78E9" w:rsidR="00973F85" w:rsidRPr="00FF5635" w:rsidRDefault="00E40F51" w:rsidP="00973F85">
      <w:pPr>
        <w:pStyle w:val="Default"/>
        <w:numPr>
          <w:ilvl w:val="0"/>
          <w:numId w:val="13"/>
        </w:numPr>
        <w:jc w:val="both"/>
        <w:rPr>
          <w:rFonts w:ascii="Arial" w:hAnsi="Arial" w:cs="Arial"/>
          <w:color w:val="auto"/>
          <w:sz w:val="20"/>
          <w:szCs w:val="20"/>
        </w:rPr>
      </w:pPr>
      <w:r>
        <w:rPr>
          <w:rFonts w:ascii="Arial" w:hAnsi="Arial"/>
          <w:color w:val="auto"/>
          <w:sz w:val="20"/>
          <w:szCs w:val="20"/>
        </w:rPr>
        <w:t>Activé et mis en œuvre en situation réelle de réponse</w:t>
      </w:r>
    </w:p>
    <w:p w14:paraId="0F258A6D" w14:textId="6E57D716" w:rsidR="00973F85" w:rsidRPr="006F6E2F" w:rsidRDefault="00E40F51" w:rsidP="00973F85">
      <w:pPr>
        <w:pStyle w:val="Default"/>
        <w:numPr>
          <w:ilvl w:val="0"/>
          <w:numId w:val="13"/>
        </w:numPr>
        <w:jc w:val="both"/>
        <w:rPr>
          <w:rFonts w:ascii="Arial" w:hAnsi="Arial" w:cs="Arial"/>
          <w:color w:val="auto"/>
          <w:sz w:val="20"/>
          <w:szCs w:val="20"/>
        </w:rPr>
      </w:pPr>
      <w:r>
        <w:rPr>
          <w:rFonts w:ascii="Arial" w:hAnsi="Arial"/>
          <w:color w:val="auto"/>
          <w:sz w:val="20"/>
          <w:szCs w:val="20"/>
        </w:rPr>
        <w:t xml:space="preserve">Testé </w:t>
      </w:r>
      <w:r w:rsidR="00A221D9">
        <w:rPr>
          <w:rFonts w:ascii="Arial" w:hAnsi="Arial"/>
          <w:color w:val="auto"/>
          <w:sz w:val="20"/>
          <w:szCs w:val="20"/>
        </w:rPr>
        <w:t xml:space="preserve">par </w:t>
      </w:r>
      <w:r>
        <w:rPr>
          <w:rFonts w:ascii="Arial" w:hAnsi="Arial"/>
          <w:color w:val="auto"/>
          <w:sz w:val="20"/>
          <w:szCs w:val="20"/>
        </w:rPr>
        <w:t>une simulation</w:t>
      </w:r>
    </w:p>
    <w:p w14:paraId="4546C385" w14:textId="77777777" w:rsidR="00512571" w:rsidRPr="00FF5635" w:rsidRDefault="00512571" w:rsidP="00973F85">
      <w:pPr>
        <w:pStyle w:val="Default"/>
        <w:jc w:val="both"/>
        <w:rPr>
          <w:rFonts w:ascii="Arial" w:hAnsi="Arial" w:cs="Arial"/>
          <w:color w:val="auto"/>
          <w:sz w:val="20"/>
          <w:szCs w:val="20"/>
          <w:lang w:val="en-GB"/>
        </w:rPr>
      </w:pPr>
    </w:p>
    <w:p w14:paraId="2E3C2694" w14:textId="3AE348ED" w:rsidR="00973F85" w:rsidRPr="00FF5635" w:rsidRDefault="00973F85" w:rsidP="00973F85">
      <w:pPr>
        <w:pStyle w:val="Default"/>
        <w:jc w:val="both"/>
        <w:rPr>
          <w:rFonts w:ascii="Arial" w:hAnsi="Arial" w:cs="Arial"/>
          <w:color w:val="auto"/>
          <w:sz w:val="20"/>
          <w:szCs w:val="20"/>
        </w:rPr>
      </w:pPr>
      <w:r>
        <w:rPr>
          <w:rFonts w:ascii="Arial" w:hAnsi="Arial"/>
          <w:color w:val="auto"/>
          <w:sz w:val="20"/>
          <w:szCs w:val="20"/>
        </w:rPr>
        <w:t xml:space="preserve">Les évaluations doivent être fréquemment réalisées à partir de données réelles en utilisant différentes méthodologies, telles que : </w:t>
      </w:r>
    </w:p>
    <w:p w14:paraId="54A0D155" w14:textId="4DEB1411" w:rsidR="00973F85" w:rsidRPr="006F6E2F" w:rsidRDefault="00973F85" w:rsidP="00973F85">
      <w:pPr>
        <w:pStyle w:val="Default"/>
        <w:numPr>
          <w:ilvl w:val="0"/>
          <w:numId w:val="14"/>
        </w:numPr>
        <w:jc w:val="both"/>
        <w:rPr>
          <w:rFonts w:ascii="Arial" w:hAnsi="Arial" w:cs="Arial"/>
          <w:color w:val="auto"/>
          <w:sz w:val="20"/>
          <w:szCs w:val="20"/>
        </w:rPr>
      </w:pPr>
      <w:r>
        <w:rPr>
          <w:rFonts w:ascii="Arial" w:hAnsi="Arial"/>
          <w:color w:val="auto"/>
          <w:sz w:val="20"/>
          <w:szCs w:val="20"/>
        </w:rPr>
        <w:t>Évaluation pendant la réponse</w:t>
      </w:r>
    </w:p>
    <w:p w14:paraId="388B945A" w14:textId="4759CDBE" w:rsidR="00973F85" w:rsidRPr="006F6E2F" w:rsidRDefault="00973F85" w:rsidP="00973F85">
      <w:pPr>
        <w:pStyle w:val="Default"/>
        <w:numPr>
          <w:ilvl w:val="0"/>
          <w:numId w:val="14"/>
        </w:numPr>
        <w:jc w:val="both"/>
        <w:rPr>
          <w:rFonts w:ascii="Arial" w:hAnsi="Arial" w:cs="Arial"/>
          <w:color w:val="auto"/>
          <w:sz w:val="20"/>
          <w:szCs w:val="20"/>
        </w:rPr>
      </w:pPr>
      <w:r>
        <w:rPr>
          <w:rFonts w:ascii="Arial" w:hAnsi="Arial"/>
          <w:color w:val="auto"/>
          <w:sz w:val="20"/>
          <w:szCs w:val="20"/>
        </w:rPr>
        <w:t>Évaluation après la catastrophe</w:t>
      </w:r>
    </w:p>
    <w:p w14:paraId="28830440" w14:textId="77777777" w:rsidR="00512571" w:rsidRPr="00FF5635" w:rsidRDefault="00512571" w:rsidP="00973F85">
      <w:pPr>
        <w:rPr>
          <w:rFonts w:cs="Arial"/>
          <w:color w:val="auto"/>
          <w:szCs w:val="20"/>
        </w:rPr>
      </w:pPr>
    </w:p>
    <w:p w14:paraId="5DC71ECE" w14:textId="5232CFCD" w:rsidR="00973F85" w:rsidRPr="00292702" w:rsidRDefault="00973F85" w:rsidP="004E2F76">
      <w:pPr>
        <w:rPr>
          <w:rFonts w:cs="Arial"/>
          <w:color w:val="0000FF"/>
        </w:rPr>
      </w:pPr>
      <w:r>
        <w:rPr>
          <w:color w:val="auto"/>
          <w:szCs w:val="20"/>
        </w:rPr>
        <w:t xml:space="preserve">Pour définir votre méthodologie et vos questions d’évaluation, vous pouvez vous référer au cadre et aux conseils suivants </w:t>
      </w:r>
      <w:r>
        <w:rPr>
          <w:color w:val="0000FF"/>
          <w:szCs w:val="20"/>
        </w:rPr>
        <w:t>:</w:t>
      </w:r>
      <w:r>
        <w:rPr>
          <w:i/>
          <w:color w:val="0000FF"/>
          <w:szCs w:val="20"/>
        </w:rPr>
        <w:t xml:space="preserve"> </w:t>
      </w:r>
      <w:hyperlink r:id="rId59" w:history="1">
        <w:r w:rsidR="009B53C2">
          <w:rPr>
            <w:color w:val="0000FF"/>
            <w:u w:val="single"/>
            <w:lang w:val="en-CH"/>
          </w:rPr>
          <w:t xml:space="preserve">Cadre </w:t>
        </w:r>
        <w:proofErr w:type="spellStart"/>
        <w:r w:rsidR="009B53C2">
          <w:rPr>
            <w:color w:val="0000FF"/>
            <w:u w:val="single"/>
            <w:lang w:val="en-CH"/>
          </w:rPr>
          <w:t>d’évaluation</w:t>
        </w:r>
        <w:proofErr w:type="spellEnd"/>
        <w:r w:rsidR="009B53C2">
          <w:rPr>
            <w:color w:val="0000FF"/>
            <w:u w:val="single"/>
            <w:lang w:val="en-CH"/>
          </w:rPr>
          <w:t xml:space="preserve"> de la FICR</w:t>
        </w:r>
      </w:hyperlink>
      <w:r>
        <w:rPr>
          <w:color w:val="0000FF"/>
        </w:rPr>
        <w:t xml:space="preserve">, </w:t>
      </w:r>
      <w:hyperlink r:id="rId60" w:history="1">
        <w:r w:rsidR="00BA1FD0">
          <w:rPr>
            <w:color w:val="0000FF"/>
            <w:u w:val="single"/>
            <w:lang w:val="en-CH"/>
          </w:rPr>
          <w:t xml:space="preserve">Directive </w:t>
        </w:r>
        <w:proofErr w:type="spellStart"/>
        <w:r w:rsidR="00BA1FD0">
          <w:rPr>
            <w:color w:val="0000FF"/>
            <w:u w:val="single"/>
            <w:lang w:val="en-CH"/>
          </w:rPr>
          <w:t>d’évaluations</w:t>
        </w:r>
        <w:proofErr w:type="spellEnd"/>
        <w:r w:rsidR="00BA1FD0">
          <w:rPr>
            <w:color w:val="0000FF"/>
            <w:u w:val="single"/>
            <w:lang w:val="en-CH"/>
          </w:rPr>
          <w:t xml:space="preserve"> de la FICR</w:t>
        </w:r>
        <w:r>
          <w:rPr>
            <w:color w:val="0000FF"/>
            <w:u w:val="single"/>
          </w:rPr>
          <w:t xml:space="preserve"> - 2011</w:t>
        </w:r>
      </w:hyperlink>
      <w:r w:rsidRPr="00BA1FD0">
        <w:rPr>
          <w:color w:val="auto"/>
          <w:szCs w:val="20"/>
        </w:rPr>
        <w:t xml:space="preserve">, </w:t>
      </w:r>
      <w:hyperlink r:id="rId61" w:history="1">
        <w:proofErr w:type="spellStart"/>
        <w:r w:rsidR="00BA1FD0">
          <w:rPr>
            <w:color w:val="0000FF"/>
            <w:u w:val="single"/>
            <w:lang w:val="en-CH"/>
          </w:rPr>
          <w:t>Enseignements</w:t>
        </w:r>
        <w:proofErr w:type="spellEnd"/>
        <w:r w:rsidR="00BA1FD0">
          <w:rPr>
            <w:color w:val="0000FF"/>
            <w:u w:val="single"/>
            <w:lang w:val="en-CH"/>
          </w:rPr>
          <w:t xml:space="preserve"> </w:t>
        </w:r>
        <w:proofErr w:type="spellStart"/>
        <w:r w:rsidR="00BA1FD0">
          <w:rPr>
            <w:color w:val="0000FF"/>
            <w:u w:val="single"/>
            <w:lang w:val="en-CH"/>
          </w:rPr>
          <w:t>tirés</w:t>
        </w:r>
        <w:proofErr w:type="spellEnd"/>
        <w:r w:rsidR="00BA1FD0">
          <w:rPr>
            <w:color w:val="0000FF"/>
            <w:u w:val="single"/>
            <w:lang w:val="en-CH"/>
          </w:rPr>
          <w:t xml:space="preserve"> du DREF</w:t>
        </w:r>
        <w:r w:rsidR="004E2F76">
          <w:rPr>
            <w:color w:val="0000FF"/>
            <w:u w:val="single"/>
            <w:lang w:val="en-CH"/>
          </w:rPr>
          <w:t>.</w:t>
        </w:r>
        <w:r>
          <w:rPr>
            <w:color w:val="0000FF"/>
            <w:u w:val="single"/>
          </w:rPr>
          <w:t xml:space="preserve"> </w:t>
        </w:r>
      </w:hyperlink>
    </w:p>
    <w:p w14:paraId="3268F95A" w14:textId="454B278D" w:rsidR="000705F5" w:rsidRPr="00FF5635" w:rsidRDefault="000705F5" w:rsidP="00973F85">
      <w:pPr>
        <w:rPr>
          <w:rFonts w:cs="Arial"/>
          <w:color w:val="auto"/>
          <w:szCs w:val="20"/>
        </w:rPr>
      </w:pPr>
      <w:r>
        <w:rPr>
          <w:color w:val="auto"/>
          <w:szCs w:val="20"/>
        </w:rPr>
        <w:t xml:space="preserve">Quel que soit le type d’évaluation à mettre au point, les éléments les plus importants à déterminer sont les conclusions, les enseignements tirés et les recommandations visant à améliorer les </w:t>
      </w:r>
      <w:r w:rsidR="00A221D9">
        <w:rPr>
          <w:color w:val="auto"/>
          <w:szCs w:val="20"/>
        </w:rPr>
        <w:t>P</w:t>
      </w:r>
      <w:r>
        <w:rPr>
          <w:color w:val="auto"/>
          <w:szCs w:val="20"/>
        </w:rPr>
        <w:t xml:space="preserve">lans </w:t>
      </w:r>
      <w:r w:rsidR="00A221D9">
        <w:rPr>
          <w:color w:val="auto"/>
          <w:szCs w:val="20"/>
        </w:rPr>
        <w:t>de Contingence</w:t>
      </w:r>
      <w:r>
        <w:rPr>
          <w:color w:val="auto"/>
          <w:szCs w:val="20"/>
        </w:rPr>
        <w:t xml:space="preserve"> existants et futurs.</w:t>
      </w:r>
    </w:p>
    <w:p w14:paraId="7CA41B34" w14:textId="77777777" w:rsidR="00973F85" w:rsidRPr="00245418" w:rsidRDefault="00973F85" w:rsidP="00234D93">
      <w:pPr>
        <w:pStyle w:val="Heading2"/>
        <w:spacing w:before="360"/>
        <w:rPr>
          <w:bCs/>
        </w:rPr>
      </w:pPr>
      <w:bookmarkStart w:id="31" w:name="_Toc48832047"/>
      <w:bookmarkStart w:id="32" w:name="_Toc59440510"/>
      <w:r>
        <w:t>Partage et examen</w:t>
      </w:r>
      <w:bookmarkEnd w:id="31"/>
      <w:bookmarkEnd w:id="32"/>
    </w:p>
    <w:p w14:paraId="3EB4A3D6" w14:textId="350950CF" w:rsidR="00973F85" w:rsidRPr="00FF5635" w:rsidRDefault="00E40F51" w:rsidP="00973F85">
      <w:pPr>
        <w:rPr>
          <w:rFonts w:cs="Arial"/>
          <w:color w:val="auto"/>
          <w:szCs w:val="20"/>
        </w:rPr>
      </w:pPr>
      <w:r>
        <w:rPr>
          <w:color w:val="auto"/>
          <w:szCs w:val="20"/>
        </w:rPr>
        <w:t xml:space="preserve">La </w:t>
      </w:r>
      <w:r w:rsidR="00711A83">
        <w:rPr>
          <w:color w:val="auto"/>
          <w:szCs w:val="20"/>
        </w:rPr>
        <w:t>Société nationale</w:t>
      </w:r>
      <w:r>
        <w:rPr>
          <w:color w:val="auto"/>
          <w:szCs w:val="20"/>
        </w:rPr>
        <w:t xml:space="preserve"> doit convenir de la fréquence à laquelle le </w:t>
      </w:r>
      <w:r w:rsidR="00851734">
        <w:rPr>
          <w:color w:val="auto"/>
          <w:szCs w:val="20"/>
        </w:rPr>
        <w:t>Plan de Contingence</w:t>
      </w:r>
      <w:r>
        <w:rPr>
          <w:color w:val="auto"/>
          <w:szCs w:val="20"/>
        </w:rPr>
        <w:t xml:space="preserve"> est revu, testé et mis à jour. Rédigez un compte rendu détaillé de l’accord sur la révision et la mise à jour. Il est également important de définir le mécanisme d’approbation et la manière de partager votre plan en interne et en externe.</w:t>
      </w:r>
    </w:p>
    <w:p w14:paraId="32FE0BA7" w14:textId="325E19F6" w:rsidR="00973F85" w:rsidRPr="00FF5635" w:rsidRDefault="00973F85" w:rsidP="00973F85">
      <w:pPr>
        <w:autoSpaceDE w:val="0"/>
        <w:autoSpaceDN w:val="0"/>
        <w:adjustRightInd w:val="0"/>
        <w:spacing w:before="100" w:after="0" w:line="221" w:lineRule="atLeast"/>
        <w:rPr>
          <w:rFonts w:cs="Arial"/>
          <w:color w:val="auto"/>
          <w:szCs w:val="20"/>
        </w:rPr>
      </w:pPr>
      <w:r>
        <w:rPr>
          <w:color w:val="auto"/>
          <w:szCs w:val="20"/>
        </w:rPr>
        <w:t xml:space="preserve">Pour assurer la mise à jour périodique des plans, il doit y avoir des procédures claires et appropriées pour la </w:t>
      </w:r>
      <w:r w:rsidR="00711A83">
        <w:rPr>
          <w:color w:val="auto"/>
          <w:szCs w:val="20"/>
        </w:rPr>
        <w:t>Société nationale</w:t>
      </w:r>
      <w:r>
        <w:rPr>
          <w:color w:val="auto"/>
          <w:szCs w:val="20"/>
        </w:rPr>
        <w:t xml:space="preserve">. Les procédures de mise à jour peuvent être très simples, mais doivent comprendre au moins les éléments suivants : </w:t>
      </w:r>
    </w:p>
    <w:p w14:paraId="79D827F5" w14:textId="77777777" w:rsidR="00810BEE" w:rsidRPr="00FF5635" w:rsidRDefault="00810BEE" w:rsidP="00973F85">
      <w:pPr>
        <w:autoSpaceDE w:val="0"/>
        <w:autoSpaceDN w:val="0"/>
        <w:adjustRightInd w:val="0"/>
        <w:spacing w:before="100" w:after="0" w:line="221" w:lineRule="atLeast"/>
        <w:rPr>
          <w:rFonts w:cs="Arial"/>
          <w:color w:val="auto"/>
          <w:szCs w:val="20"/>
        </w:rPr>
      </w:pPr>
    </w:p>
    <w:tbl>
      <w:tblPr>
        <w:tblStyle w:val="TableGrid"/>
        <w:tblW w:w="10228" w:type="dxa"/>
        <w:jc w:val="center"/>
        <w:tblCellMar>
          <w:top w:w="57" w:type="dxa"/>
          <w:left w:w="85" w:type="dxa"/>
          <w:bottom w:w="57" w:type="dxa"/>
          <w:right w:w="85" w:type="dxa"/>
        </w:tblCellMar>
        <w:tblLook w:val="04A0" w:firstRow="1" w:lastRow="0" w:firstColumn="1" w:lastColumn="0" w:noHBand="0" w:noVBand="1"/>
      </w:tblPr>
      <w:tblGrid>
        <w:gridCol w:w="1559"/>
        <w:gridCol w:w="2415"/>
        <w:gridCol w:w="1985"/>
        <w:gridCol w:w="2693"/>
        <w:gridCol w:w="1576"/>
      </w:tblGrid>
      <w:tr w:rsidR="00973F85" w:rsidRPr="00245418" w14:paraId="375BA967" w14:textId="77777777" w:rsidTr="00234D93">
        <w:trPr>
          <w:trHeight w:val="558"/>
          <w:jc w:val="center"/>
        </w:trPr>
        <w:tc>
          <w:tcPr>
            <w:tcW w:w="1559" w:type="dxa"/>
            <w:tcBorders>
              <w:left w:val="single" w:sz="4" w:space="0" w:color="auto"/>
            </w:tcBorders>
            <w:shd w:val="clear" w:color="auto" w:fill="ADC8DD" w:themeFill="background2" w:themeFillShade="E6"/>
            <w:vAlign w:val="center"/>
          </w:tcPr>
          <w:p w14:paraId="5711E760" w14:textId="77777777" w:rsidR="00973F85" w:rsidRPr="00245418" w:rsidRDefault="00973F85" w:rsidP="008E10BB">
            <w:pPr>
              <w:jc w:val="center"/>
              <w:rPr>
                <w:rFonts w:cs="Arial"/>
                <w:b/>
                <w:bCs/>
                <w:smallCaps/>
              </w:rPr>
            </w:pPr>
            <w:r>
              <w:rPr>
                <w:b/>
                <w:bCs/>
                <w:smallCaps/>
              </w:rPr>
              <w:t>Sections à mettre à jour</w:t>
            </w:r>
          </w:p>
        </w:tc>
        <w:tc>
          <w:tcPr>
            <w:tcW w:w="2415" w:type="dxa"/>
            <w:shd w:val="clear" w:color="auto" w:fill="ADC8DD" w:themeFill="background2" w:themeFillShade="E6"/>
            <w:vAlign w:val="center"/>
          </w:tcPr>
          <w:p w14:paraId="64E62251" w14:textId="77777777" w:rsidR="00973F85" w:rsidRPr="00245418" w:rsidRDefault="00973F85" w:rsidP="008E10BB">
            <w:pPr>
              <w:jc w:val="center"/>
              <w:rPr>
                <w:rFonts w:cs="Arial"/>
                <w:b/>
                <w:bCs/>
                <w:smallCaps/>
              </w:rPr>
            </w:pPr>
            <w:r>
              <w:rPr>
                <w:b/>
                <w:bCs/>
                <w:smallCaps/>
              </w:rPr>
              <w:t>Fréquence</w:t>
            </w:r>
          </w:p>
        </w:tc>
        <w:tc>
          <w:tcPr>
            <w:tcW w:w="1985" w:type="dxa"/>
            <w:shd w:val="clear" w:color="auto" w:fill="ADC8DD" w:themeFill="background2" w:themeFillShade="E6"/>
            <w:vAlign w:val="center"/>
          </w:tcPr>
          <w:p w14:paraId="6BBF7276" w14:textId="77777777" w:rsidR="00973F85" w:rsidRPr="00245418" w:rsidRDefault="00973F85" w:rsidP="008E10BB">
            <w:pPr>
              <w:jc w:val="center"/>
              <w:rPr>
                <w:rFonts w:cs="Arial"/>
                <w:b/>
                <w:bCs/>
                <w:smallCaps/>
              </w:rPr>
            </w:pPr>
            <w:r>
              <w:rPr>
                <w:b/>
                <w:bCs/>
                <w:smallCaps/>
              </w:rPr>
              <w:t>Méthodologie</w:t>
            </w:r>
          </w:p>
        </w:tc>
        <w:tc>
          <w:tcPr>
            <w:tcW w:w="2693" w:type="dxa"/>
            <w:shd w:val="clear" w:color="auto" w:fill="ADC8DD" w:themeFill="background2" w:themeFillShade="E6"/>
            <w:vAlign w:val="center"/>
          </w:tcPr>
          <w:p w14:paraId="2A970E6E" w14:textId="77777777" w:rsidR="00973F85" w:rsidRPr="00245418" w:rsidRDefault="00973F85" w:rsidP="008E10BB">
            <w:pPr>
              <w:jc w:val="center"/>
              <w:rPr>
                <w:rFonts w:cs="Arial"/>
                <w:b/>
                <w:bCs/>
                <w:smallCaps/>
              </w:rPr>
            </w:pPr>
            <w:r>
              <w:rPr>
                <w:b/>
                <w:bCs/>
                <w:smallCaps/>
              </w:rPr>
              <w:t>Responsable</w:t>
            </w:r>
          </w:p>
        </w:tc>
        <w:tc>
          <w:tcPr>
            <w:tcW w:w="1576" w:type="dxa"/>
            <w:shd w:val="clear" w:color="auto" w:fill="ADC8DD" w:themeFill="background2" w:themeFillShade="E6"/>
            <w:vAlign w:val="center"/>
          </w:tcPr>
          <w:p w14:paraId="00116BA8" w14:textId="77777777" w:rsidR="00973F85" w:rsidRPr="00245418" w:rsidRDefault="00973F85" w:rsidP="008E10BB">
            <w:pPr>
              <w:jc w:val="center"/>
              <w:rPr>
                <w:rFonts w:cs="Arial"/>
                <w:b/>
                <w:bCs/>
                <w:smallCaps/>
              </w:rPr>
            </w:pPr>
            <w:r>
              <w:rPr>
                <w:b/>
                <w:bCs/>
                <w:smallCaps/>
              </w:rPr>
              <w:t>Ressources nécessaires</w:t>
            </w:r>
          </w:p>
        </w:tc>
      </w:tr>
      <w:tr w:rsidR="00973F85" w:rsidRPr="00234D93" w14:paraId="175C0B89" w14:textId="77777777" w:rsidTr="00234D93">
        <w:trPr>
          <w:trHeight w:val="409"/>
          <w:jc w:val="center"/>
        </w:trPr>
        <w:tc>
          <w:tcPr>
            <w:tcW w:w="1559" w:type="dxa"/>
          </w:tcPr>
          <w:p w14:paraId="527EB60D" w14:textId="77777777" w:rsidR="00973F85" w:rsidRPr="00234D93" w:rsidRDefault="00973F85" w:rsidP="008E10BB">
            <w:pPr>
              <w:rPr>
                <w:rFonts w:cs="Arial"/>
                <w:sz w:val="18"/>
                <w:szCs w:val="18"/>
              </w:rPr>
            </w:pPr>
            <w:r>
              <w:rPr>
                <w:sz w:val="18"/>
                <w:szCs w:val="18"/>
              </w:rPr>
              <w:t>Une liste détaillée des parties du plan qui doivent être mises à jour, avec un calendrier recommandé, dans laquelle les contenus les plus importants sont bien définis, car ils ne sont pas tous mis à jour avec la même fréquence ou de la même manière.</w:t>
            </w:r>
          </w:p>
        </w:tc>
        <w:tc>
          <w:tcPr>
            <w:tcW w:w="2415" w:type="dxa"/>
          </w:tcPr>
          <w:p w14:paraId="621AEBD5" w14:textId="5E245810" w:rsidR="00973F85" w:rsidRPr="00234D93" w:rsidRDefault="00973F85" w:rsidP="00A221D9">
            <w:pPr>
              <w:rPr>
                <w:rFonts w:cs="Arial"/>
                <w:sz w:val="18"/>
                <w:szCs w:val="18"/>
              </w:rPr>
            </w:pPr>
            <w:r>
              <w:rPr>
                <w:sz w:val="18"/>
                <w:szCs w:val="18"/>
              </w:rPr>
              <w:t xml:space="preserve">Définir clairement la fréquence de mise à jour de chaque partie. Cette mise à jour sera organisée en fonction de l’importance des informations et de la fréquence à laquelle </w:t>
            </w:r>
            <w:r w:rsidR="00A221D9">
              <w:rPr>
                <w:sz w:val="18"/>
                <w:szCs w:val="18"/>
              </w:rPr>
              <w:t>c</w:t>
            </w:r>
            <w:r>
              <w:rPr>
                <w:sz w:val="18"/>
                <w:szCs w:val="18"/>
              </w:rPr>
              <w:t xml:space="preserve">es informations sont susceptibles </w:t>
            </w:r>
            <w:r w:rsidR="00A221D9">
              <w:rPr>
                <w:sz w:val="18"/>
                <w:szCs w:val="18"/>
              </w:rPr>
              <w:t>d’évoluer</w:t>
            </w:r>
            <w:r>
              <w:rPr>
                <w:sz w:val="18"/>
                <w:szCs w:val="18"/>
              </w:rPr>
              <w:t xml:space="preserve">. Par exemple, tout ce qui se rapporte aux ressources changera plus souvent que les données relatives au contexte général. Les </w:t>
            </w:r>
            <w:r w:rsidR="006868D1">
              <w:rPr>
                <w:sz w:val="18"/>
                <w:szCs w:val="18"/>
              </w:rPr>
              <w:t>plans de contingence</w:t>
            </w:r>
            <w:r>
              <w:rPr>
                <w:sz w:val="18"/>
                <w:szCs w:val="18"/>
              </w:rPr>
              <w:t xml:space="preserve"> devraient être mis à jour beaucoup plus fréquemment que les plans d’intervention</w:t>
            </w:r>
            <w:r w:rsidR="00A221D9">
              <w:rPr>
                <w:sz w:val="18"/>
                <w:szCs w:val="18"/>
              </w:rPr>
              <w:t xml:space="preserve"> (réponse)</w:t>
            </w:r>
            <w:r>
              <w:rPr>
                <w:sz w:val="18"/>
                <w:szCs w:val="18"/>
              </w:rPr>
              <w:t>.</w:t>
            </w:r>
          </w:p>
        </w:tc>
        <w:tc>
          <w:tcPr>
            <w:tcW w:w="1985" w:type="dxa"/>
          </w:tcPr>
          <w:p w14:paraId="3DD645C9" w14:textId="0874B5A2" w:rsidR="00973F85" w:rsidRPr="00234D93" w:rsidRDefault="00973F85" w:rsidP="00E40F51">
            <w:pPr>
              <w:rPr>
                <w:rFonts w:cs="Arial"/>
                <w:sz w:val="18"/>
                <w:szCs w:val="18"/>
              </w:rPr>
            </w:pPr>
            <w:r>
              <w:rPr>
                <w:sz w:val="18"/>
                <w:szCs w:val="18"/>
              </w:rPr>
              <w:t>Pour chaque partie, choisissez la méthodologie la plus appropriée. Certains éléments peuvent être mis à jour facilement en consultant des pages web ou des documents institutionnels et stratégiques, tandis que d’autres nécessitent des processus consultatifs ou des processus d’évaluation, de simulation ou d’exercices de formation.</w:t>
            </w:r>
          </w:p>
        </w:tc>
        <w:tc>
          <w:tcPr>
            <w:tcW w:w="2693" w:type="dxa"/>
          </w:tcPr>
          <w:p w14:paraId="60401013" w14:textId="335351A7" w:rsidR="00973F85" w:rsidRPr="00234D93" w:rsidRDefault="00973F85" w:rsidP="00A221D9">
            <w:pPr>
              <w:rPr>
                <w:rFonts w:cs="Arial"/>
                <w:sz w:val="18"/>
                <w:szCs w:val="18"/>
              </w:rPr>
            </w:pPr>
            <w:r>
              <w:rPr>
                <w:sz w:val="18"/>
                <w:szCs w:val="18"/>
              </w:rPr>
              <w:t xml:space="preserve">Les ressources existantes dans l’institution doivent être optimisées et les responsabilités doivent être réparties pour la mise à jour des différentes parties. Normalement, la partie "capacités" est mise à jour par les ressources humaines, tandis que les scénarios et les stratégies d’intervention sont réalisés par les directeurs de programmes ou les techniciens. Il est toujours recommandé qu’une seule personne soit responsable de la </w:t>
            </w:r>
            <w:r w:rsidR="00A221D9">
              <w:rPr>
                <w:sz w:val="18"/>
                <w:szCs w:val="18"/>
              </w:rPr>
              <w:t xml:space="preserve">supervision </w:t>
            </w:r>
            <w:r>
              <w:rPr>
                <w:sz w:val="18"/>
                <w:szCs w:val="18"/>
              </w:rPr>
              <w:t>complète du processus.</w:t>
            </w:r>
          </w:p>
        </w:tc>
        <w:tc>
          <w:tcPr>
            <w:tcW w:w="1576" w:type="dxa"/>
          </w:tcPr>
          <w:p w14:paraId="14B5A3DD" w14:textId="0529C705" w:rsidR="00973F85" w:rsidRPr="00234D93" w:rsidRDefault="00973F85" w:rsidP="008E10BB">
            <w:pPr>
              <w:rPr>
                <w:rFonts w:cs="Arial"/>
                <w:sz w:val="18"/>
                <w:szCs w:val="18"/>
              </w:rPr>
            </w:pPr>
            <w:r>
              <w:rPr>
                <w:sz w:val="18"/>
                <w:szCs w:val="18"/>
              </w:rPr>
              <w:t xml:space="preserve">Si, au cours du processus de mise à jour, il y a des ressources supplémentaires ou manquantes, cette situation doit être clairement identifiée afin qu’elle puisse être prise en compte dans les budgets de la </w:t>
            </w:r>
            <w:r w:rsidR="00711A83">
              <w:rPr>
                <w:sz w:val="18"/>
                <w:szCs w:val="18"/>
              </w:rPr>
              <w:t>Société nationale</w:t>
            </w:r>
            <w:r>
              <w:rPr>
                <w:sz w:val="18"/>
                <w:szCs w:val="18"/>
              </w:rPr>
              <w:t>.</w:t>
            </w:r>
          </w:p>
        </w:tc>
      </w:tr>
    </w:tbl>
    <w:p w14:paraId="669FB414" w14:textId="77777777" w:rsidR="00973F85" w:rsidRDefault="00973F85">
      <w:pPr>
        <w:spacing w:line="264" w:lineRule="auto"/>
      </w:pPr>
    </w:p>
    <w:sectPr w:rsidR="00973F85" w:rsidSect="00AE655A">
      <w:pgSz w:w="11906" w:h="16838" w:code="9"/>
      <w:pgMar w:top="907" w:right="907" w:bottom="907" w:left="907" w:header="924" w:footer="71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942E11" w14:textId="77777777" w:rsidR="00112B3C" w:rsidRDefault="00112B3C">
      <w:pPr>
        <w:spacing w:after="0"/>
      </w:pPr>
      <w:r>
        <w:separator/>
      </w:r>
    </w:p>
  </w:endnote>
  <w:endnote w:type="continuationSeparator" w:id="0">
    <w:p w14:paraId="498C6CEA" w14:textId="77777777" w:rsidR="00112B3C" w:rsidRDefault="00112B3C">
      <w:pPr>
        <w:spacing w:after="0"/>
      </w:pPr>
      <w:r>
        <w:continuationSeparator/>
      </w:r>
    </w:p>
  </w:endnote>
  <w:endnote w:type="continuationNotice" w:id="1">
    <w:p w14:paraId="14E9E00E" w14:textId="77777777" w:rsidR="00112B3C" w:rsidRDefault="00112B3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Gill Sans MT">
    <w:charset w:val="00"/>
    <w:family w:val="swiss"/>
    <w:pitch w:val="variable"/>
    <w:sig w:usb0="00000003" w:usb1="00000000" w:usb2="00000000" w:usb3="00000000" w:csb0="00000003" w:csb1="00000000"/>
  </w:font>
  <w:font w:name="Yu Mincho">
    <w:charset w:val="80"/>
    <w:family w:val="roman"/>
    <w:pitch w:val="variable"/>
    <w:sig w:usb0="800002E7" w:usb1="2AC7FCFF" w:usb2="00000012" w:usb3="00000000" w:csb0="0002009F" w:csb1="00000000"/>
  </w:font>
  <w:font w:name="HelveticaNeueLT Std Thin">
    <w:altName w:val="Malgun Gothic"/>
    <w:charset w:val="00"/>
    <w:family w:val="swiss"/>
    <w:pitch w:val="variable"/>
    <w:sig w:usb0="00000003" w:usb1="00000000" w:usb2="00000000" w:usb3="00000000" w:csb0="00000001" w:csb1="00000000"/>
  </w:font>
  <w:font w:name="Franklin Gothic Medium Cond">
    <w:charset w:val="00"/>
    <w:family w:val="swiss"/>
    <w:pitch w:val="variable"/>
    <w:sig w:usb0="00000287" w:usb1="00000000" w:usb2="00000000" w:usb3="00000000" w:csb0="0000009F" w:csb1="00000000"/>
  </w:font>
  <w:font w:name="Helvetica Neue">
    <w:altName w:val="Arial"/>
    <w:charset w:val="00"/>
    <w:family w:val="swiss"/>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16"/>
      </w:rPr>
      <w:id w:val="1094286900"/>
      <w:docPartObj>
        <w:docPartGallery w:val="Page Numbers (Bottom of Page)"/>
        <w:docPartUnique/>
      </w:docPartObj>
    </w:sdtPr>
    <w:sdtEndPr/>
    <w:sdtContent>
      <w:p w14:paraId="02CF2564" w14:textId="37AFB46B" w:rsidR="00A848B2" w:rsidRPr="00A848B2" w:rsidRDefault="00A848B2" w:rsidP="000B21E2">
        <w:pPr>
          <w:pStyle w:val="Footer"/>
          <w:pBdr>
            <w:top w:val="single" w:sz="4" w:space="5" w:color="C00000"/>
          </w:pBdr>
          <w:tabs>
            <w:tab w:val="clear" w:pos="4536"/>
            <w:tab w:val="clear" w:pos="9072"/>
            <w:tab w:val="center" w:pos="6096"/>
            <w:tab w:val="right" w:pos="10065"/>
          </w:tabs>
          <w:spacing w:before="120"/>
          <w:rPr>
            <w:sz w:val="16"/>
            <w:szCs w:val="16"/>
          </w:rPr>
        </w:pPr>
        <w:r>
          <w:rPr>
            <w:sz w:val="16"/>
            <w:szCs w:val="16"/>
          </w:rPr>
          <w:t>Comm</w:t>
        </w:r>
        <w:r w:rsidR="00A52120">
          <w:rPr>
            <w:sz w:val="16"/>
            <w:szCs w:val="16"/>
          </w:rPr>
          <w:t>en</w:t>
        </w:r>
        <w:r>
          <w:rPr>
            <w:sz w:val="16"/>
            <w:szCs w:val="16"/>
          </w:rPr>
          <w:t>t mener un processus de planification d’urgence?</w:t>
        </w:r>
        <w:r>
          <w:rPr>
            <w:sz w:val="16"/>
            <w:szCs w:val="16"/>
          </w:rPr>
          <w:tab/>
          <w:t xml:space="preserve">Février </w:t>
        </w:r>
        <w:r>
          <w:rPr>
            <w:sz w:val="16"/>
            <w:szCs w:val="16"/>
            <w:lang w:val="en-US"/>
          </w:rPr>
          <w:t>2021</w:t>
        </w:r>
        <w:r>
          <w:rPr>
            <w:sz w:val="16"/>
            <w:szCs w:val="16"/>
          </w:rPr>
          <w:tab/>
        </w:r>
        <w:r w:rsidRPr="00AE655A">
          <w:rPr>
            <w:sz w:val="16"/>
            <w:szCs w:val="16"/>
          </w:rPr>
          <w:t xml:space="preserve">Page </w:t>
        </w:r>
        <w:r w:rsidRPr="00AE655A">
          <w:rPr>
            <w:b/>
            <w:bCs/>
            <w:sz w:val="16"/>
            <w:szCs w:val="16"/>
          </w:rPr>
          <w:fldChar w:fldCharType="begin"/>
        </w:r>
        <w:r w:rsidRPr="00AE655A">
          <w:rPr>
            <w:b/>
            <w:bCs/>
            <w:sz w:val="16"/>
            <w:szCs w:val="16"/>
          </w:rPr>
          <w:instrText xml:space="preserve"> PAGE  \* Arabic  \* MERGEFORMAT </w:instrText>
        </w:r>
        <w:r w:rsidRPr="00AE655A">
          <w:rPr>
            <w:b/>
            <w:bCs/>
            <w:sz w:val="16"/>
            <w:szCs w:val="16"/>
          </w:rPr>
          <w:fldChar w:fldCharType="separate"/>
        </w:r>
        <w:r>
          <w:rPr>
            <w:b/>
            <w:bCs/>
            <w:sz w:val="16"/>
            <w:szCs w:val="16"/>
          </w:rPr>
          <w:t>2</w:t>
        </w:r>
        <w:r w:rsidRPr="00AE655A">
          <w:rPr>
            <w:b/>
            <w:bCs/>
            <w:sz w:val="16"/>
            <w:szCs w:val="16"/>
          </w:rPr>
          <w:fldChar w:fldCharType="end"/>
        </w:r>
        <w:r w:rsidRPr="00AE655A">
          <w:rPr>
            <w:sz w:val="16"/>
            <w:szCs w:val="16"/>
          </w:rPr>
          <w:t xml:space="preserve"> </w:t>
        </w:r>
        <w:r>
          <w:rPr>
            <w:sz w:val="16"/>
            <w:szCs w:val="16"/>
          </w:rPr>
          <w:t>sur</w:t>
        </w:r>
        <w:r w:rsidRPr="00AE655A">
          <w:rPr>
            <w:sz w:val="16"/>
            <w:szCs w:val="16"/>
          </w:rPr>
          <w:t xml:space="preserve"> </w:t>
        </w:r>
        <w:r w:rsidRPr="00AE655A">
          <w:rPr>
            <w:b/>
            <w:bCs/>
            <w:sz w:val="16"/>
            <w:szCs w:val="16"/>
          </w:rPr>
          <w:fldChar w:fldCharType="begin"/>
        </w:r>
        <w:r w:rsidRPr="00AE655A">
          <w:rPr>
            <w:b/>
            <w:bCs/>
            <w:sz w:val="16"/>
            <w:szCs w:val="16"/>
          </w:rPr>
          <w:instrText xml:space="preserve"> NUMPAGES  \* Arabic  \* MERGEFORMAT </w:instrText>
        </w:r>
        <w:r w:rsidRPr="00AE655A">
          <w:rPr>
            <w:b/>
            <w:bCs/>
            <w:sz w:val="16"/>
            <w:szCs w:val="16"/>
          </w:rPr>
          <w:fldChar w:fldCharType="separate"/>
        </w:r>
        <w:r>
          <w:rPr>
            <w:b/>
            <w:bCs/>
            <w:sz w:val="16"/>
            <w:szCs w:val="16"/>
          </w:rPr>
          <w:t>16</w:t>
        </w:r>
        <w:r w:rsidRPr="00AE655A">
          <w:rPr>
            <w:b/>
            <w:bCs/>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81C379" w14:textId="77777777" w:rsidR="00112B3C" w:rsidRDefault="00112B3C">
      <w:pPr>
        <w:spacing w:after="0"/>
      </w:pPr>
      <w:r>
        <w:separator/>
      </w:r>
    </w:p>
  </w:footnote>
  <w:footnote w:type="continuationSeparator" w:id="0">
    <w:p w14:paraId="49816B82" w14:textId="77777777" w:rsidR="00112B3C" w:rsidRDefault="00112B3C">
      <w:pPr>
        <w:spacing w:after="0"/>
      </w:pPr>
      <w:r>
        <w:continuationSeparator/>
      </w:r>
    </w:p>
  </w:footnote>
  <w:footnote w:type="continuationNotice" w:id="1">
    <w:p w14:paraId="5D07BF51" w14:textId="77777777" w:rsidR="00112B3C" w:rsidRDefault="00112B3C">
      <w:pPr>
        <w:spacing w:after="0"/>
      </w:pPr>
    </w:p>
  </w:footnote>
  <w:footnote w:id="2">
    <w:p w14:paraId="2170B21F" w14:textId="0DA279DA" w:rsidR="00054207" w:rsidRPr="00430A31" w:rsidRDefault="00054207">
      <w:pPr>
        <w:pStyle w:val="FootnoteText"/>
        <w:rPr>
          <w:sz w:val="16"/>
          <w:szCs w:val="16"/>
        </w:rPr>
      </w:pPr>
      <w:r w:rsidRPr="00430A31">
        <w:rPr>
          <w:rStyle w:val="FootnoteReference"/>
          <w:sz w:val="16"/>
          <w:szCs w:val="16"/>
        </w:rPr>
        <w:footnoteRef/>
      </w:r>
      <w:r w:rsidRPr="00430A31">
        <w:rPr>
          <w:sz w:val="16"/>
          <w:szCs w:val="16"/>
        </w:rPr>
        <w:t xml:space="preserve"> Ici a été conservée la terminologie traduite anglais/français de </w:t>
      </w:r>
      <w:hyperlink r:id="rId1" w:history="1">
        <w:r w:rsidRPr="00054207">
          <w:rPr>
            <w:rStyle w:val="Hyperlink"/>
            <w:color w:val="0000FF"/>
            <w:sz w:val="16"/>
            <w:szCs w:val="16"/>
          </w:rPr>
          <w:t>UNDRR</w:t>
        </w:r>
      </w:hyperlink>
      <w:r w:rsidRPr="00430A31">
        <w:rPr>
          <w:sz w:val="16"/>
          <w:szCs w:val="16"/>
        </w:rPr>
        <w:t>, pour s’aligner avec le guide de planification d’urgence, 2012, IFRC. Dans ces outils, le processus est donc appelé « processus de planification d’urgence » dont le résultat est le Plan de Contingence (équivalent au Plan de Contingence comme traduit dans la version 2012).</w:t>
      </w:r>
    </w:p>
  </w:footnote>
  <w:footnote w:id="3">
    <w:p w14:paraId="0C270C21" w14:textId="0A551B13" w:rsidR="00054207" w:rsidRPr="0017373B" w:rsidRDefault="00054207" w:rsidP="008473E2">
      <w:pPr>
        <w:pStyle w:val="FootnoteText"/>
        <w:rPr>
          <w:sz w:val="16"/>
          <w:szCs w:val="16"/>
        </w:rPr>
      </w:pPr>
      <w:r w:rsidRPr="00430A31">
        <w:rPr>
          <w:rStyle w:val="FootnoteReference"/>
          <w:sz w:val="16"/>
          <w:szCs w:val="16"/>
        </w:rPr>
        <w:footnoteRef/>
      </w:r>
      <w:r w:rsidRPr="00430A31">
        <w:rPr>
          <w:sz w:val="16"/>
          <w:szCs w:val="16"/>
        </w:rPr>
        <w:t xml:space="preserve"> Plans d’intervention et de contingence en cas de catastrophe : Guide à l’intention des </w:t>
      </w:r>
      <w:r w:rsidR="00711A83">
        <w:rPr>
          <w:sz w:val="16"/>
          <w:szCs w:val="16"/>
        </w:rPr>
        <w:t>Sociétés nationales</w:t>
      </w:r>
      <w:r w:rsidRPr="00430A31">
        <w:rPr>
          <w:sz w:val="16"/>
          <w:szCs w:val="16"/>
        </w:rPr>
        <w:t xml:space="preserve"> de la Croix-Rouge des Caraïbes, 2014 - P19. Adapté</w:t>
      </w:r>
    </w:p>
  </w:footnote>
  <w:footnote w:id="4">
    <w:p w14:paraId="22BD3733" w14:textId="5736D514" w:rsidR="00054207" w:rsidRPr="007C3043" w:rsidRDefault="00054207">
      <w:pPr>
        <w:pStyle w:val="FootnoteText"/>
      </w:pPr>
      <w:r>
        <w:rPr>
          <w:rStyle w:val="FootnoteReference"/>
        </w:rPr>
        <w:footnoteRef/>
      </w:r>
      <w:r>
        <w:t xml:space="preserve"> </w:t>
      </w:r>
      <w:r>
        <w:rPr>
          <w:sz w:val="16"/>
          <w:szCs w:val="16"/>
        </w:rPr>
        <w:t>Par « Plans de préparation », nous entendons ici le Plan de préparation à la réponse. C’est la définition utilisée dans ces outils.</w:t>
      </w:r>
    </w:p>
  </w:footnote>
  <w:footnote w:id="5">
    <w:p w14:paraId="53C333F3" w14:textId="29EB8711" w:rsidR="00054207" w:rsidRPr="00430A31" w:rsidRDefault="00054207">
      <w:pPr>
        <w:pStyle w:val="FootnoteText"/>
        <w:rPr>
          <w:sz w:val="16"/>
          <w:szCs w:val="16"/>
        </w:rPr>
      </w:pPr>
      <w:r w:rsidRPr="00430A31">
        <w:rPr>
          <w:rStyle w:val="FootnoteReference"/>
          <w:sz w:val="16"/>
          <w:szCs w:val="16"/>
        </w:rPr>
        <w:footnoteRef/>
      </w:r>
      <w:r w:rsidRPr="00430A31">
        <w:rPr>
          <w:sz w:val="16"/>
          <w:szCs w:val="16"/>
        </w:rPr>
        <w:t xml:space="preserve"> </w:t>
      </w:r>
      <w:proofErr w:type="spellStart"/>
      <w:r w:rsidRPr="00430A31">
        <w:rPr>
          <w:sz w:val="16"/>
          <w:szCs w:val="16"/>
        </w:rPr>
        <w:t>FbF</w:t>
      </w:r>
      <w:proofErr w:type="spellEnd"/>
      <w:r w:rsidRPr="00430A31">
        <w:rPr>
          <w:sz w:val="16"/>
          <w:szCs w:val="16"/>
        </w:rPr>
        <w:t xml:space="preserve"> – </w:t>
      </w:r>
      <w:proofErr w:type="spellStart"/>
      <w:r w:rsidRPr="00430A31">
        <w:rPr>
          <w:sz w:val="16"/>
          <w:szCs w:val="16"/>
        </w:rPr>
        <w:t>Forecast</w:t>
      </w:r>
      <w:proofErr w:type="spellEnd"/>
      <w:r w:rsidRPr="00430A31">
        <w:rPr>
          <w:sz w:val="16"/>
          <w:szCs w:val="16"/>
        </w:rPr>
        <w:t xml:space="preserve"> </w:t>
      </w:r>
      <w:proofErr w:type="spellStart"/>
      <w:r w:rsidRPr="00430A31">
        <w:rPr>
          <w:sz w:val="16"/>
          <w:szCs w:val="16"/>
        </w:rPr>
        <w:t>based</w:t>
      </w:r>
      <w:proofErr w:type="spellEnd"/>
      <w:r w:rsidRPr="00430A31">
        <w:rPr>
          <w:sz w:val="16"/>
          <w:szCs w:val="16"/>
        </w:rPr>
        <w:t xml:space="preserve"> </w:t>
      </w:r>
      <w:proofErr w:type="spellStart"/>
      <w:r w:rsidRPr="00430A31">
        <w:rPr>
          <w:sz w:val="16"/>
          <w:szCs w:val="16"/>
        </w:rPr>
        <w:t>Financing</w:t>
      </w:r>
      <w:proofErr w:type="spellEnd"/>
      <w:r>
        <w:rPr>
          <w:sz w:val="16"/>
          <w:szCs w:val="16"/>
        </w:rPr>
        <w:t>. Nous garderons l’acronyme anglais pour le reste de documents.</w:t>
      </w:r>
    </w:p>
  </w:footnote>
  <w:footnote w:id="6">
    <w:p w14:paraId="2D76F820" w14:textId="55D183D5" w:rsidR="00054207" w:rsidRPr="00430A31" w:rsidRDefault="00054207">
      <w:pPr>
        <w:pStyle w:val="FootnoteText"/>
        <w:rPr>
          <w:sz w:val="16"/>
          <w:szCs w:val="16"/>
        </w:rPr>
      </w:pPr>
      <w:r w:rsidRPr="00430A31">
        <w:rPr>
          <w:rStyle w:val="FootnoteReference"/>
          <w:sz w:val="16"/>
          <w:szCs w:val="16"/>
        </w:rPr>
        <w:footnoteRef/>
      </w:r>
      <w:r w:rsidRPr="00430A31">
        <w:rPr>
          <w:sz w:val="16"/>
          <w:szCs w:val="16"/>
        </w:rPr>
        <w:t xml:space="preserve"> Le choix a été fait de conserver les acronymes en anglais, communément utilisés par les </w:t>
      </w:r>
      <w:r w:rsidR="00711A83">
        <w:rPr>
          <w:sz w:val="16"/>
          <w:szCs w:val="16"/>
        </w:rPr>
        <w:t>Sociétés nationales</w:t>
      </w:r>
      <w:r w:rsidRPr="00430A31">
        <w:rPr>
          <w:sz w:val="16"/>
          <w:szCs w:val="16"/>
        </w:rPr>
        <w:t xml:space="preserve"> francophones elles-mêmes, afin de ne pas augmenter la confusion avec de nouveaux acronymes. Seuls les acronymes avec une traduction officielle reconnue en français ont été traduits (</w:t>
      </w:r>
      <w:proofErr w:type="spellStart"/>
      <w:r w:rsidRPr="00430A31">
        <w:rPr>
          <w:sz w:val="16"/>
          <w:szCs w:val="16"/>
        </w:rPr>
        <w:t>e.i</w:t>
      </w:r>
      <w:proofErr w:type="spellEnd"/>
      <w:r w:rsidRPr="00430A31">
        <w:rPr>
          <w:sz w:val="16"/>
          <w:szCs w:val="16"/>
        </w:rPr>
        <w:t>. Préparation pour une Intervention Efficace).</w:t>
      </w:r>
    </w:p>
  </w:footnote>
  <w:footnote w:id="7">
    <w:p w14:paraId="56C0AA17" w14:textId="3FD4AC01" w:rsidR="00054207" w:rsidRPr="004A38FC" w:rsidRDefault="00054207">
      <w:pPr>
        <w:pStyle w:val="FootnoteText"/>
      </w:pPr>
      <w:r w:rsidRPr="00430A31">
        <w:rPr>
          <w:rStyle w:val="FootnoteReference"/>
          <w:sz w:val="16"/>
          <w:szCs w:val="16"/>
        </w:rPr>
        <w:footnoteRef/>
      </w:r>
      <w:r w:rsidRPr="004A38FC">
        <w:rPr>
          <w:sz w:val="16"/>
          <w:szCs w:val="16"/>
        </w:rPr>
        <w:t xml:space="preserve"> </w:t>
      </w:r>
      <w:r>
        <w:rPr>
          <w:sz w:val="16"/>
          <w:szCs w:val="16"/>
        </w:rPr>
        <w:t xml:space="preserve">PAP est équivalent à </w:t>
      </w:r>
      <w:r w:rsidRPr="004A38FC">
        <w:rPr>
          <w:sz w:val="16"/>
          <w:szCs w:val="16"/>
        </w:rPr>
        <w:t>EAP – Emergency Action Protocol</w:t>
      </w:r>
    </w:p>
  </w:footnote>
  <w:footnote w:id="8">
    <w:p w14:paraId="4B6573C4" w14:textId="1F0E9D3A" w:rsidR="00054207" w:rsidRPr="00274ADC" w:rsidRDefault="00054207">
      <w:pPr>
        <w:pStyle w:val="FootnoteText"/>
      </w:pPr>
      <w:r>
        <w:rPr>
          <w:rStyle w:val="FootnoteReference"/>
        </w:rPr>
        <w:footnoteRef/>
      </w:r>
      <w:r>
        <w:t xml:space="preserve"> </w:t>
      </w:r>
      <w:r>
        <w:rPr>
          <w:sz w:val="16"/>
          <w:szCs w:val="16"/>
        </w:rPr>
        <w:t>Plus de 40 Plan de Contingence des régions Asie, Amériques, Afrique, Europe et Pacifique ont été rassemblés et consultés.</w:t>
      </w:r>
    </w:p>
  </w:footnote>
  <w:footnote w:id="9">
    <w:p w14:paraId="4CF4B543" w14:textId="34F1104A" w:rsidR="00054207" w:rsidRPr="00D373D5" w:rsidRDefault="00054207">
      <w:pPr>
        <w:pStyle w:val="FootnoteText"/>
      </w:pPr>
      <w:r>
        <w:rPr>
          <w:rStyle w:val="FootnoteReference"/>
        </w:rPr>
        <w:footnoteRef/>
      </w:r>
      <w:r>
        <w:t xml:space="preserve"> </w:t>
      </w:r>
      <w:r>
        <w:rPr>
          <w:sz w:val="16"/>
          <w:szCs w:val="16"/>
        </w:rPr>
        <w:t>Plan d’action d’urgence (</w:t>
      </w:r>
      <w:proofErr w:type="spellStart"/>
      <w:r>
        <w:rPr>
          <w:sz w:val="16"/>
          <w:szCs w:val="16"/>
        </w:rPr>
        <w:t>EPoA</w:t>
      </w:r>
      <w:proofErr w:type="spellEnd"/>
      <w:r>
        <w:rPr>
          <w:sz w:val="16"/>
          <w:szCs w:val="16"/>
        </w:rPr>
        <w:t>)</w:t>
      </w:r>
    </w:p>
  </w:footnote>
  <w:footnote w:id="10">
    <w:p w14:paraId="530267C5" w14:textId="119E277E" w:rsidR="00054207" w:rsidRPr="00EF0E64" w:rsidRDefault="00054207">
      <w:pPr>
        <w:pStyle w:val="FootnoteText"/>
        <w:rPr>
          <w:sz w:val="16"/>
          <w:szCs w:val="16"/>
        </w:rPr>
      </w:pPr>
      <w:r w:rsidRPr="00EF0E64">
        <w:rPr>
          <w:rStyle w:val="FootnoteReference"/>
          <w:sz w:val="16"/>
          <w:szCs w:val="16"/>
        </w:rPr>
        <w:footnoteRef/>
      </w:r>
      <w:r w:rsidRPr="00EF0E64">
        <w:rPr>
          <w:sz w:val="16"/>
          <w:szCs w:val="16"/>
        </w:rPr>
        <w:t xml:space="preserve"> Reportez-vous à la section relative au plan d’intervention opérationnel de la </w:t>
      </w:r>
      <w:r w:rsidR="00711A83">
        <w:rPr>
          <w:sz w:val="16"/>
          <w:szCs w:val="16"/>
        </w:rPr>
        <w:t>Société nationale</w:t>
      </w:r>
      <w:r w:rsidRPr="00EF0E64">
        <w:rPr>
          <w:sz w:val="16"/>
          <w:szCs w:val="16"/>
        </w:rPr>
        <w:t xml:space="preserve"> dans le document </w:t>
      </w:r>
      <w:r w:rsidRPr="00EF0E64">
        <w:rPr>
          <w:i/>
          <w:sz w:val="16"/>
          <w:szCs w:val="16"/>
        </w:rPr>
        <w:t>Modèle de Plan de Contingence</w:t>
      </w:r>
      <w:r w:rsidRPr="00EF0E64">
        <w:rPr>
          <w:sz w:val="16"/>
          <w:szCs w:val="16"/>
        </w:rPr>
        <w:t>.</w:t>
      </w:r>
    </w:p>
  </w:footnote>
  <w:footnote w:id="11">
    <w:p w14:paraId="5B05E0B0" w14:textId="299CD1AA" w:rsidR="00054207" w:rsidRPr="00430A31" w:rsidRDefault="00054207">
      <w:pPr>
        <w:pStyle w:val="FootnoteText"/>
        <w:rPr>
          <w:sz w:val="16"/>
          <w:szCs w:val="16"/>
        </w:rPr>
      </w:pPr>
      <w:r w:rsidRPr="00EF0E64">
        <w:rPr>
          <w:rStyle w:val="FootnoteReference"/>
          <w:sz w:val="16"/>
          <w:szCs w:val="16"/>
        </w:rPr>
        <w:footnoteRef/>
      </w:r>
      <w:r w:rsidRPr="00EF0E64">
        <w:rPr>
          <w:sz w:val="16"/>
          <w:szCs w:val="16"/>
        </w:rPr>
        <w:t xml:space="preserve"> Ici l’acronyme SOPs (Standard Operating </w:t>
      </w:r>
      <w:proofErr w:type="spellStart"/>
      <w:r w:rsidRPr="00EF0E64">
        <w:rPr>
          <w:sz w:val="16"/>
          <w:szCs w:val="16"/>
        </w:rPr>
        <w:t>Procedures</w:t>
      </w:r>
      <w:proofErr w:type="spellEnd"/>
      <w:r w:rsidRPr="00EF0E64">
        <w:rPr>
          <w:sz w:val="16"/>
          <w:szCs w:val="16"/>
        </w:rPr>
        <w:t xml:space="preserve">) communément utilisés également </w:t>
      </w:r>
      <w:r w:rsidR="007B675A">
        <w:rPr>
          <w:sz w:val="16"/>
          <w:szCs w:val="16"/>
          <w:lang w:val="en-CH"/>
        </w:rPr>
        <w:t>par</w:t>
      </w:r>
      <w:r w:rsidRPr="00EF0E64">
        <w:rPr>
          <w:sz w:val="16"/>
          <w:szCs w:val="16"/>
        </w:rPr>
        <w:t xml:space="preserve"> les </w:t>
      </w:r>
      <w:r w:rsidR="00711A83">
        <w:rPr>
          <w:sz w:val="16"/>
          <w:szCs w:val="16"/>
        </w:rPr>
        <w:t>Sociétés nationales</w:t>
      </w:r>
      <w:r w:rsidRPr="00EF0E64">
        <w:rPr>
          <w:sz w:val="16"/>
          <w:szCs w:val="16"/>
        </w:rPr>
        <w:t xml:space="preserve"> francophones a été conservé.</w:t>
      </w:r>
    </w:p>
  </w:footnote>
  <w:footnote w:id="12">
    <w:p w14:paraId="1CDD7816" w14:textId="4906CF3A" w:rsidR="00054207" w:rsidRPr="00502EF4" w:rsidRDefault="00054207">
      <w:pPr>
        <w:pStyle w:val="FootnoteText"/>
        <w:rPr>
          <w:sz w:val="16"/>
          <w:szCs w:val="16"/>
        </w:rPr>
      </w:pPr>
      <w:r w:rsidRPr="00502EF4">
        <w:rPr>
          <w:rStyle w:val="FootnoteReference"/>
          <w:sz w:val="16"/>
          <w:szCs w:val="16"/>
        </w:rPr>
        <w:footnoteRef/>
      </w:r>
      <w:r w:rsidRPr="00502EF4">
        <w:rPr>
          <w:sz w:val="16"/>
          <w:szCs w:val="16"/>
        </w:rPr>
        <w:t xml:space="preserve"> Ici, le plan d’action de préparation se réfère aux actions pour être prêt à intervenir face aux scénarios spécifiques.</w:t>
      </w:r>
    </w:p>
  </w:footnote>
  <w:footnote w:id="13">
    <w:p w14:paraId="74F72EB1" w14:textId="77777777" w:rsidR="00054207" w:rsidRPr="00B00F5C" w:rsidRDefault="00054207" w:rsidP="003E013C">
      <w:pPr>
        <w:pStyle w:val="FootnoteText"/>
        <w:rPr>
          <w:sz w:val="16"/>
          <w:szCs w:val="16"/>
        </w:rPr>
      </w:pPr>
      <w:r>
        <w:rPr>
          <w:rStyle w:val="FootnoteReference"/>
          <w:sz w:val="16"/>
          <w:szCs w:val="16"/>
        </w:rPr>
        <w:footnoteRef/>
      </w:r>
      <w:r>
        <w:rPr>
          <w:sz w:val="16"/>
          <w:szCs w:val="16"/>
        </w:rPr>
        <w:t xml:space="preserve"> Inclure ici la planification de l’évaluation des besoins d’urgence (ENAP) si possible. À défaut elle devra être mentionnée sous la rubrique portant sur les opérations dans la période suivante.</w:t>
      </w:r>
    </w:p>
  </w:footnote>
  <w:footnote w:id="14">
    <w:p w14:paraId="49C72A38" w14:textId="58E9CECC" w:rsidR="00054207" w:rsidRPr="00E01F9B" w:rsidRDefault="00054207" w:rsidP="003E013C">
      <w:pPr>
        <w:pStyle w:val="FootnoteText"/>
        <w:rPr>
          <w:sz w:val="16"/>
          <w:szCs w:val="16"/>
        </w:rPr>
      </w:pPr>
      <w:r>
        <w:rPr>
          <w:rStyle w:val="FootnoteReference"/>
          <w:sz w:val="16"/>
          <w:szCs w:val="16"/>
        </w:rPr>
        <w:footnoteRef/>
      </w:r>
      <w:r>
        <w:rPr>
          <w:sz w:val="16"/>
          <w:szCs w:val="16"/>
        </w:rPr>
        <w:t xml:space="preserve"> Si votre </w:t>
      </w:r>
      <w:r w:rsidR="00711A83">
        <w:rPr>
          <w:sz w:val="16"/>
          <w:szCs w:val="16"/>
        </w:rPr>
        <w:t>Société nationale</w:t>
      </w:r>
      <w:r>
        <w:rPr>
          <w:sz w:val="16"/>
          <w:szCs w:val="16"/>
        </w:rPr>
        <w:t xml:space="preserve"> peut trouver des éléments utiles dans ce processus, il sera plus facile d’être accompagné par des partenaires et/ou la FICR.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62972" w14:textId="12986700" w:rsidR="00054207" w:rsidRDefault="000B21E2">
    <w:pPr>
      <w:pStyle w:val="Header"/>
    </w:pPr>
    <w:r>
      <w:pict w14:anchorId="653A8F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267316" o:spid="_x0000_s2053" type="#_x0000_t136" style="position:absolute;left:0;text-align:left;margin-left:0;margin-top:0;width:513.8pt;height:205.5pt;rotation:315;z-index:-251658240;mso-position-horizontal:center;mso-position-horizontal-relative:margin;mso-position-vertical:center;mso-position-vertical-relative:margin" o:allowincell="f" fillcolor="#7f7f7f [1612]" stroked="f">
          <v:fill opacity=".5"/>
          <v:textpath style="font-family:&quot;Arial&quot;;font-size:1pt" string="VERSION PRÉLIMINAIR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31D2B" w14:textId="11FD5A31" w:rsidR="00054207" w:rsidRDefault="00A848B2">
    <w:pPr>
      <w:pStyle w:val="Header"/>
    </w:pPr>
    <w:r w:rsidRPr="00C90132">
      <w:rPr>
        <w:i/>
        <w:noProof/>
        <w:color w:val="C00000"/>
        <w:sz w:val="18"/>
        <w:szCs w:val="18"/>
        <w:lang w:eastAsia="en-GB"/>
      </w:rPr>
      <w:drawing>
        <wp:anchor distT="0" distB="0" distL="114300" distR="114300" simplePos="0" relativeHeight="251657216" behindDoc="0" locked="0" layoutInCell="1" allowOverlap="1" wp14:anchorId="6986BC89" wp14:editId="4270E955">
          <wp:simplePos x="0" y="0"/>
          <wp:positionH relativeFrom="column">
            <wp:posOffset>635</wp:posOffset>
          </wp:positionH>
          <wp:positionV relativeFrom="paragraph">
            <wp:posOffset>-189821</wp:posOffset>
          </wp:positionV>
          <wp:extent cx="1925546" cy="520996"/>
          <wp:effectExtent l="0" t="0" r="0" b="0"/>
          <wp:wrapNone/>
          <wp:docPr id="6" name="Picture 1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rawing&#10;&#10;Description automatically generated"/>
                  <pic:cNvPicPr>
                    <a:picLocks noChangeAspect="1"/>
                  </pic:cNvPicPr>
                </pic:nvPicPr>
                <pic:blipFill rotWithShape="1">
                  <a:blip r:embed="rId1" cstate="print">
                    <a:extLst>
                      <a:ext uri="{28A0092B-C50C-407E-A947-70E740481C1C}">
                        <a14:useLocalDpi xmlns:a14="http://schemas.microsoft.com/office/drawing/2010/main" val="0"/>
                      </a:ext>
                    </a:extLst>
                  </a:blip>
                  <a:srcRect l="12972" t="27792" r="13640" b="28248"/>
                  <a:stretch/>
                </pic:blipFill>
                <pic:spPr bwMode="auto">
                  <a:xfrm>
                    <a:off x="0" y="0"/>
                    <a:ext cx="1925546" cy="5209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224129"/>
    <w:multiLevelType w:val="hybridMultilevel"/>
    <w:tmpl w:val="247CFB78"/>
    <w:lvl w:ilvl="0" w:tplc="C040E222">
      <w:start w:val="1"/>
      <w:numFmt w:val="bullet"/>
      <w:lvlText w:val=""/>
      <w:lvlJc w:val="left"/>
      <w:pPr>
        <w:tabs>
          <w:tab w:val="num" w:pos="720"/>
        </w:tabs>
        <w:ind w:left="720" w:hanging="360"/>
      </w:pPr>
      <w:rPr>
        <w:rFonts w:ascii="Wingdings" w:hAnsi="Wingdings" w:hint="default"/>
      </w:rPr>
    </w:lvl>
    <w:lvl w:ilvl="1" w:tplc="DFE86AA8" w:tentative="1">
      <w:start w:val="1"/>
      <w:numFmt w:val="bullet"/>
      <w:lvlText w:val=""/>
      <w:lvlJc w:val="left"/>
      <w:pPr>
        <w:tabs>
          <w:tab w:val="num" w:pos="1440"/>
        </w:tabs>
        <w:ind w:left="1440" w:hanging="360"/>
      </w:pPr>
      <w:rPr>
        <w:rFonts w:ascii="Wingdings" w:hAnsi="Wingdings" w:hint="default"/>
      </w:rPr>
    </w:lvl>
    <w:lvl w:ilvl="2" w:tplc="49C68216" w:tentative="1">
      <w:start w:val="1"/>
      <w:numFmt w:val="bullet"/>
      <w:lvlText w:val=""/>
      <w:lvlJc w:val="left"/>
      <w:pPr>
        <w:tabs>
          <w:tab w:val="num" w:pos="2160"/>
        </w:tabs>
        <w:ind w:left="2160" w:hanging="360"/>
      </w:pPr>
      <w:rPr>
        <w:rFonts w:ascii="Wingdings" w:hAnsi="Wingdings" w:hint="default"/>
      </w:rPr>
    </w:lvl>
    <w:lvl w:ilvl="3" w:tplc="F4483256" w:tentative="1">
      <w:start w:val="1"/>
      <w:numFmt w:val="bullet"/>
      <w:lvlText w:val=""/>
      <w:lvlJc w:val="left"/>
      <w:pPr>
        <w:tabs>
          <w:tab w:val="num" w:pos="2880"/>
        </w:tabs>
        <w:ind w:left="2880" w:hanging="360"/>
      </w:pPr>
      <w:rPr>
        <w:rFonts w:ascii="Wingdings" w:hAnsi="Wingdings" w:hint="default"/>
      </w:rPr>
    </w:lvl>
    <w:lvl w:ilvl="4" w:tplc="815C0DC6" w:tentative="1">
      <w:start w:val="1"/>
      <w:numFmt w:val="bullet"/>
      <w:lvlText w:val=""/>
      <w:lvlJc w:val="left"/>
      <w:pPr>
        <w:tabs>
          <w:tab w:val="num" w:pos="3600"/>
        </w:tabs>
        <w:ind w:left="3600" w:hanging="360"/>
      </w:pPr>
      <w:rPr>
        <w:rFonts w:ascii="Wingdings" w:hAnsi="Wingdings" w:hint="default"/>
      </w:rPr>
    </w:lvl>
    <w:lvl w:ilvl="5" w:tplc="9F2E283A" w:tentative="1">
      <w:start w:val="1"/>
      <w:numFmt w:val="bullet"/>
      <w:lvlText w:val=""/>
      <w:lvlJc w:val="left"/>
      <w:pPr>
        <w:tabs>
          <w:tab w:val="num" w:pos="4320"/>
        </w:tabs>
        <w:ind w:left="4320" w:hanging="360"/>
      </w:pPr>
      <w:rPr>
        <w:rFonts w:ascii="Wingdings" w:hAnsi="Wingdings" w:hint="default"/>
      </w:rPr>
    </w:lvl>
    <w:lvl w:ilvl="6" w:tplc="A3BE422C" w:tentative="1">
      <w:start w:val="1"/>
      <w:numFmt w:val="bullet"/>
      <w:lvlText w:val=""/>
      <w:lvlJc w:val="left"/>
      <w:pPr>
        <w:tabs>
          <w:tab w:val="num" w:pos="5040"/>
        </w:tabs>
        <w:ind w:left="5040" w:hanging="360"/>
      </w:pPr>
      <w:rPr>
        <w:rFonts w:ascii="Wingdings" w:hAnsi="Wingdings" w:hint="default"/>
      </w:rPr>
    </w:lvl>
    <w:lvl w:ilvl="7" w:tplc="E09C4434" w:tentative="1">
      <w:start w:val="1"/>
      <w:numFmt w:val="bullet"/>
      <w:lvlText w:val=""/>
      <w:lvlJc w:val="left"/>
      <w:pPr>
        <w:tabs>
          <w:tab w:val="num" w:pos="5760"/>
        </w:tabs>
        <w:ind w:left="5760" w:hanging="360"/>
      </w:pPr>
      <w:rPr>
        <w:rFonts w:ascii="Wingdings" w:hAnsi="Wingdings" w:hint="default"/>
      </w:rPr>
    </w:lvl>
    <w:lvl w:ilvl="8" w:tplc="EC5ADA6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2D08D8"/>
    <w:multiLevelType w:val="hybridMultilevel"/>
    <w:tmpl w:val="77206A8E"/>
    <w:lvl w:ilvl="0" w:tplc="6882D4B6">
      <w:start w:val="1"/>
      <w:numFmt w:val="decimal"/>
      <w:lvlText w:val="%1."/>
      <w:lvlJc w:val="left"/>
      <w:pPr>
        <w:tabs>
          <w:tab w:val="num" w:pos="720"/>
        </w:tabs>
        <w:ind w:left="720" w:hanging="360"/>
      </w:pPr>
    </w:lvl>
    <w:lvl w:ilvl="1" w:tplc="FD1A6178" w:tentative="1">
      <w:start w:val="1"/>
      <w:numFmt w:val="decimal"/>
      <w:lvlText w:val="%2."/>
      <w:lvlJc w:val="left"/>
      <w:pPr>
        <w:tabs>
          <w:tab w:val="num" w:pos="1440"/>
        </w:tabs>
        <w:ind w:left="1440" w:hanging="360"/>
      </w:pPr>
    </w:lvl>
    <w:lvl w:ilvl="2" w:tplc="BA70E10C" w:tentative="1">
      <w:start w:val="1"/>
      <w:numFmt w:val="decimal"/>
      <w:lvlText w:val="%3."/>
      <w:lvlJc w:val="left"/>
      <w:pPr>
        <w:tabs>
          <w:tab w:val="num" w:pos="2160"/>
        </w:tabs>
        <w:ind w:left="2160" w:hanging="360"/>
      </w:pPr>
    </w:lvl>
    <w:lvl w:ilvl="3" w:tplc="21DEBAD0" w:tentative="1">
      <w:start w:val="1"/>
      <w:numFmt w:val="decimal"/>
      <w:lvlText w:val="%4."/>
      <w:lvlJc w:val="left"/>
      <w:pPr>
        <w:tabs>
          <w:tab w:val="num" w:pos="2880"/>
        </w:tabs>
        <w:ind w:left="2880" w:hanging="360"/>
      </w:pPr>
    </w:lvl>
    <w:lvl w:ilvl="4" w:tplc="511047AA" w:tentative="1">
      <w:start w:val="1"/>
      <w:numFmt w:val="decimal"/>
      <w:lvlText w:val="%5."/>
      <w:lvlJc w:val="left"/>
      <w:pPr>
        <w:tabs>
          <w:tab w:val="num" w:pos="3600"/>
        </w:tabs>
        <w:ind w:left="3600" w:hanging="360"/>
      </w:pPr>
    </w:lvl>
    <w:lvl w:ilvl="5" w:tplc="B866A67C" w:tentative="1">
      <w:start w:val="1"/>
      <w:numFmt w:val="decimal"/>
      <w:lvlText w:val="%6."/>
      <w:lvlJc w:val="left"/>
      <w:pPr>
        <w:tabs>
          <w:tab w:val="num" w:pos="4320"/>
        </w:tabs>
        <w:ind w:left="4320" w:hanging="360"/>
      </w:pPr>
    </w:lvl>
    <w:lvl w:ilvl="6" w:tplc="559CD760" w:tentative="1">
      <w:start w:val="1"/>
      <w:numFmt w:val="decimal"/>
      <w:lvlText w:val="%7."/>
      <w:lvlJc w:val="left"/>
      <w:pPr>
        <w:tabs>
          <w:tab w:val="num" w:pos="5040"/>
        </w:tabs>
        <w:ind w:left="5040" w:hanging="360"/>
      </w:pPr>
    </w:lvl>
    <w:lvl w:ilvl="7" w:tplc="1C44CD44" w:tentative="1">
      <w:start w:val="1"/>
      <w:numFmt w:val="decimal"/>
      <w:lvlText w:val="%8."/>
      <w:lvlJc w:val="left"/>
      <w:pPr>
        <w:tabs>
          <w:tab w:val="num" w:pos="5760"/>
        </w:tabs>
        <w:ind w:left="5760" w:hanging="360"/>
      </w:pPr>
    </w:lvl>
    <w:lvl w:ilvl="8" w:tplc="35186200" w:tentative="1">
      <w:start w:val="1"/>
      <w:numFmt w:val="decimal"/>
      <w:lvlText w:val="%9."/>
      <w:lvlJc w:val="left"/>
      <w:pPr>
        <w:tabs>
          <w:tab w:val="num" w:pos="6480"/>
        </w:tabs>
        <w:ind w:left="6480" w:hanging="360"/>
      </w:pPr>
    </w:lvl>
  </w:abstractNum>
  <w:abstractNum w:abstractNumId="2" w15:restartNumberingAfterBreak="0">
    <w:nsid w:val="0C5971B1"/>
    <w:multiLevelType w:val="hybridMultilevel"/>
    <w:tmpl w:val="92F8E0A0"/>
    <w:lvl w:ilvl="0" w:tplc="3AC63C6A">
      <w:start w:val="1"/>
      <w:numFmt w:val="decimal"/>
      <w:lvlText w:val="%1."/>
      <w:lvlJc w:val="left"/>
      <w:pPr>
        <w:ind w:left="1440" w:hanging="360"/>
      </w:pPr>
      <w:rPr>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86B692D"/>
    <w:multiLevelType w:val="hybridMultilevel"/>
    <w:tmpl w:val="3D14971C"/>
    <w:lvl w:ilvl="0" w:tplc="843EB78A">
      <w:start w:val="1"/>
      <w:numFmt w:val="bullet"/>
      <w:lvlText w:val="-"/>
      <w:lvlJc w:val="left"/>
      <w:pPr>
        <w:tabs>
          <w:tab w:val="num" w:pos="720"/>
        </w:tabs>
        <w:ind w:left="720" w:hanging="360"/>
      </w:pPr>
      <w:rPr>
        <w:rFonts w:ascii="Times New Roman" w:hAnsi="Times New Roman" w:hint="default"/>
      </w:rPr>
    </w:lvl>
    <w:lvl w:ilvl="1" w:tplc="D0CE0760" w:tentative="1">
      <w:start w:val="1"/>
      <w:numFmt w:val="bullet"/>
      <w:lvlText w:val="-"/>
      <w:lvlJc w:val="left"/>
      <w:pPr>
        <w:tabs>
          <w:tab w:val="num" w:pos="1440"/>
        </w:tabs>
        <w:ind w:left="1440" w:hanging="360"/>
      </w:pPr>
      <w:rPr>
        <w:rFonts w:ascii="Times New Roman" w:hAnsi="Times New Roman" w:hint="default"/>
      </w:rPr>
    </w:lvl>
    <w:lvl w:ilvl="2" w:tplc="2BFE335C" w:tentative="1">
      <w:start w:val="1"/>
      <w:numFmt w:val="bullet"/>
      <w:lvlText w:val="-"/>
      <w:lvlJc w:val="left"/>
      <w:pPr>
        <w:tabs>
          <w:tab w:val="num" w:pos="2160"/>
        </w:tabs>
        <w:ind w:left="2160" w:hanging="360"/>
      </w:pPr>
      <w:rPr>
        <w:rFonts w:ascii="Times New Roman" w:hAnsi="Times New Roman" w:hint="default"/>
      </w:rPr>
    </w:lvl>
    <w:lvl w:ilvl="3" w:tplc="98BAA932" w:tentative="1">
      <w:start w:val="1"/>
      <w:numFmt w:val="bullet"/>
      <w:lvlText w:val="-"/>
      <w:lvlJc w:val="left"/>
      <w:pPr>
        <w:tabs>
          <w:tab w:val="num" w:pos="2880"/>
        </w:tabs>
        <w:ind w:left="2880" w:hanging="360"/>
      </w:pPr>
      <w:rPr>
        <w:rFonts w:ascii="Times New Roman" w:hAnsi="Times New Roman" w:hint="default"/>
      </w:rPr>
    </w:lvl>
    <w:lvl w:ilvl="4" w:tplc="64D228FC" w:tentative="1">
      <w:start w:val="1"/>
      <w:numFmt w:val="bullet"/>
      <w:lvlText w:val="-"/>
      <w:lvlJc w:val="left"/>
      <w:pPr>
        <w:tabs>
          <w:tab w:val="num" w:pos="3600"/>
        </w:tabs>
        <w:ind w:left="3600" w:hanging="360"/>
      </w:pPr>
      <w:rPr>
        <w:rFonts w:ascii="Times New Roman" w:hAnsi="Times New Roman" w:hint="default"/>
      </w:rPr>
    </w:lvl>
    <w:lvl w:ilvl="5" w:tplc="9FDE821C" w:tentative="1">
      <w:start w:val="1"/>
      <w:numFmt w:val="bullet"/>
      <w:lvlText w:val="-"/>
      <w:lvlJc w:val="left"/>
      <w:pPr>
        <w:tabs>
          <w:tab w:val="num" w:pos="4320"/>
        </w:tabs>
        <w:ind w:left="4320" w:hanging="360"/>
      </w:pPr>
      <w:rPr>
        <w:rFonts w:ascii="Times New Roman" w:hAnsi="Times New Roman" w:hint="default"/>
      </w:rPr>
    </w:lvl>
    <w:lvl w:ilvl="6" w:tplc="0F9AFBE6" w:tentative="1">
      <w:start w:val="1"/>
      <w:numFmt w:val="bullet"/>
      <w:lvlText w:val="-"/>
      <w:lvlJc w:val="left"/>
      <w:pPr>
        <w:tabs>
          <w:tab w:val="num" w:pos="5040"/>
        </w:tabs>
        <w:ind w:left="5040" w:hanging="360"/>
      </w:pPr>
      <w:rPr>
        <w:rFonts w:ascii="Times New Roman" w:hAnsi="Times New Roman" w:hint="default"/>
      </w:rPr>
    </w:lvl>
    <w:lvl w:ilvl="7" w:tplc="6C26540C" w:tentative="1">
      <w:start w:val="1"/>
      <w:numFmt w:val="bullet"/>
      <w:lvlText w:val="-"/>
      <w:lvlJc w:val="left"/>
      <w:pPr>
        <w:tabs>
          <w:tab w:val="num" w:pos="5760"/>
        </w:tabs>
        <w:ind w:left="5760" w:hanging="360"/>
      </w:pPr>
      <w:rPr>
        <w:rFonts w:ascii="Times New Roman" w:hAnsi="Times New Roman" w:hint="default"/>
      </w:rPr>
    </w:lvl>
    <w:lvl w:ilvl="8" w:tplc="E0886AD8"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009219C"/>
    <w:multiLevelType w:val="hybridMultilevel"/>
    <w:tmpl w:val="121E7CF0"/>
    <w:lvl w:ilvl="0" w:tplc="040C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E82D28"/>
    <w:multiLevelType w:val="hybridMultilevel"/>
    <w:tmpl w:val="0E0E852C"/>
    <w:lvl w:ilvl="0" w:tplc="6766354C">
      <w:start w:val="1"/>
      <w:numFmt w:val="decimal"/>
      <w:lvlText w:val="%1."/>
      <w:lvlJc w:val="righ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21EF0EE1"/>
    <w:multiLevelType w:val="hybridMultilevel"/>
    <w:tmpl w:val="EBE2EB12"/>
    <w:lvl w:ilvl="0" w:tplc="D6B8CFB2">
      <w:start w:val="1"/>
      <w:numFmt w:val="bullet"/>
      <w:lvlText w:val=""/>
      <w:lvlJc w:val="left"/>
      <w:pPr>
        <w:tabs>
          <w:tab w:val="num" w:pos="720"/>
        </w:tabs>
        <w:ind w:left="720" w:hanging="360"/>
      </w:pPr>
      <w:rPr>
        <w:rFonts w:ascii="Symbol" w:hAnsi="Symbol" w:hint="default"/>
      </w:rPr>
    </w:lvl>
    <w:lvl w:ilvl="1" w:tplc="6A06D7C2" w:tentative="1">
      <w:start w:val="1"/>
      <w:numFmt w:val="bullet"/>
      <w:lvlText w:val=""/>
      <w:lvlJc w:val="left"/>
      <w:pPr>
        <w:tabs>
          <w:tab w:val="num" w:pos="1440"/>
        </w:tabs>
        <w:ind w:left="1440" w:hanging="360"/>
      </w:pPr>
      <w:rPr>
        <w:rFonts w:ascii="Symbol" w:hAnsi="Symbol" w:hint="default"/>
      </w:rPr>
    </w:lvl>
    <w:lvl w:ilvl="2" w:tplc="D39A6982" w:tentative="1">
      <w:start w:val="1"/>
      <w:numFmt w:val="bullet"/>
      <w:lvlText w:val=""/>
      <w:lvlJc w:val="left"/>
      <w:pPr>
        <w:tabs>
          <w:tab w:val="num" w:pos="2160"/>
        </w:tabs>
        <w:ind w:left="2160" w:hanging="360"/>
      </w:pPr>
      <w:rPr>
        <w:rFonts w:ascii="Symbol" w:hAnsi="Symbol" w:hint="default"/>
      </w:rPr>
    </w:lvl>
    <w:lvl w:ilvl="3" w:tplc="04DA8A92" w:tentative="1">
      <w:start w:val="1"/>
      <w:numFmt w:val="bullet"/>
      <w:lvlText w:val=""/>
      <w:lvlJc w:val="left"/>
      <w:pPr>
        <w:tabs>
          <w:tab w:val="num" w:pos="2880"/>
        </w:tabs>
        <w:ind w:left="2880" w:hanging="360"/>
      </w:pPr>
      <w:rPr>
        <w:rFonts w:ascii="Symbol" w:hAnsi="Symbol" w:hint="default"/>
      </w:rPr>
    </w:lvl>
    <w:lvl w:ilvl="4" w:tplc="84E022D2" w:tentative="1">
      <w:start w:val="1"/>
      <w:numFmt w:val="bullet"/>
      <w:lvlText w:val=""/>
      <w:lvlJc w:val="left"/>
      <w:pPr>
        <w:tabs>
          <w:tab w:val="num" w:pos="3600"/>
        </w:tabs>
        <w:ind w:left="3600" w:hanging="360"/>
      </w:pPr>
      <w:rPr>
        <w:rFonts w:ascii="Symbol" w:hAnsi="Symbol" w:hint="default"/>
      </w:rPr>
    </w:lvl>
    <w:lvl w:ilvl="5" w:tplc="1812AD9C" w:tentative="1">
      <w:start w:val="1"/>
      <w:numFmt w:val="bullet"/>
      <w:lvlText w:val=""/>
      <w:lvlJc w:val="left"/>
      <w:pPr>
        <w:tabs>
          <w:tab w:val="num" w:pos="4320"/>
        </w:tabs>
        <w:ind w:left="4320" w:hanging="360"/>
      </w:pPr>
      <w:rPr>
        <w:rFonts w:ascii="Symbol" w:hAnsi="Symbol" w:hint="default"/>
      </w:rPr>
    </w:lvl>
    <w:lvl w:ilvl="6" w:tplc="A9302FD0" w:tentative="1">
      <w:start w:val="1"/>
      <w:numFmt w:val="bullet"/>
      <w:lvlText w:val=""/>
      <w:lvlJc w:val="left"/>
      <w:pPr>
        <w:tabs>
          <w:tab w:val="num" w:pos="5040"/>
        </w:tabs>
        <w:ind w:left="5040" w:hanging="360"/>
      </w:pPr>
      <w:rPr>
        <w:rFonts w:ascii="Symbol" w:hAnsi="Symbol" w:hint="default"/>
      </w:rPr>
    </w:lvl>
    <w:lvl w:ilvl="7" w:tplc="8AEAA3C8" w:tentative="1">
      <w:start w:val="1"/>
      <w:numFmt w:val="bullet"/>
      <w:lvlText w:val=""/>
      <w:lvlJc w:val="left"/>
      <w:pPr>
        <w:tabs>
          <w:tab w:val="num" w:pos="5760"/>
        </w:tabs>
        <w:ind w:left="5760" w:hanging="360"/>
      </w:pPr>
      <w:rPr>
        <w:rFonts w:ascii="Symbol" w:hAnsi="Symbol" w:hint="default"/>
      </w:rPr>
    </w:lvl>
    <w:lvl w:ilvl="8" w:tplc="9842955A"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F4E0187"/>
    <w:multiLevelType w:val="hybridMultilevel"/>
    <w:tmpl w:val="99781F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AC42E22"/>
    <w:multiLevelType w:val="hybridMultilevel"/>
    <w:tmpl w:val="1B946FBA"/>
    <w:lvl w:ilvl="0" w:tplc="BCDA9424">
      <w:start w:val="1"/>
      <w:numFmt w:val="bullet"/>
      <w:lvlText w:val=""/>
      <w:lvlJc w:val="left"/>
      <w:pPr>
        <w:tabs>
          <w:tab w:val="num" w:pos="720"/>
        </w:tabs>
        <w:ind w:left="720" w:hanging="360"/>
      </w:pPr>
      <w:rPr>
        <w:rFonts w:ascii="Symbol" w:hAnsi="Symbol" w:hint="default"/>
      </w:rPr>
    </w:lvl>
    <w:lvl w:ilvl="1" w:tplc="A80AFEAA" w:tentative="1">
      <w:start w:val="1"/>
      <w:numFmt w:val="bullet"/>
      <w:lvlText w:val=""/>
      <w:lvlJc w:val="left"/>
      <w:pPr>
        <w:tabs>
          <w:tab w:val="num" w:pos="1440"/>
        </w:tabs>
        <w:ind w:left="1440" w:hanging="360"/>
      </w:pPr>
      <w:rPr>
        <w:rFonts w:ascii="Symbol" w:hAnsi="Symbol" w:hint="default"/>
      </w:rPr>
    </w:lvl>
    <w:lvl w:ilvl="2" w:tplc="6A745CD2" w:tentative="1">
      <w:start w:val="1"/>
      <w:numFmt w:val="bullet"/>
      <w:lvlText w:val=""/>
      <w:lvlJc w:val="left"/>
      <w:pPr>
        <w:tabs>
          <w:tab w:val="num" w:pos="2160"/>
        </w:tabs>
        <w:ind w:left="2160" w:hanging="360"/>
      </w:pPr>
      <w:rPr>
        <w:rFonts w:ascii="Symbol" w:hAnsi="Symbol" w:hint="default"/>
      </w:rPr>
    </w:lvl>
    <w:lvl w:ilvl="3" w:tplc="6FA46A64" w:tentative="1">
      <w:start w:val="1"/>
      <w:numFmt w:val="bullet"/>
      <w:lvlText w:val=""/>
      <w:lvlJc w:val="left"/>
      <w:pPr>
        <w:tabs>
          <w:tab w:val="num" w:pos="2880"/>
        </w:tabs>
        <w:ind w:left="2880" w:hanging="360"/>
      </w:pPr>
      <w:rPr>
        <w:rFonts w:ascii="Symbol" w:hAnsi="Symbol" w:hint="default"/>
      </w:rPr>
    </w:lvl>
    <w:lvl w:ilvl="4" w:tplc="E880F6B4" w:tentative="1">
      <w:start w:val="1"/>
      <w:numFmt w:val="bullet"/>
      <w:lvlText w:val=""/>
      <w:lvlJc w:val="left"/>
      <w:pPr>
        <w:tabs>
          <w:tab w:val="num" w:pos="3600"/>
        </w:tabs>
        <w:ind w:left="3600" w:hanging="360"/>
      </w:pPr>
      <w:rPr>
        <w:rFonts w:ascii="Symbol" w:hAnsi="Symbol" w:hint="default"/>
      </w:rPr>
    </w:lvl>
    <w:lvl w:ilvl="5" w:tplc="18827664" w:tentative="1">
      <w:start w:val="1"/>
      <w:numFmt w:val="bullet"/>
      <w:lvlText w:val=""/>
      <w:lvlJc w:val="left"/>
      <w:pPr>
        <w:tabs>
          <w:tab w:val="num" w:pos="4320"/>
        </w:tabs>
        <w:ind w:left="4320" w:hanging="360"/>
      </w:pPr>
      <w:rPr>
        <w:rFonts w:ascii="Symbol" w:hAnsi="Symbol" w:hint="default"/>
      </w:rPr>
    </w:lvl>
    <w:lvl w:ilvl="6" w:tplc="6D24A094" w:tentative="1">
      <w:start w:val="1"/>
      <w:numFmt w:val="bullet"/>
      <w:lvlText w:val=""/>
      <w:lvlJc w:val="left"/>
      <w:pPr>
        <w:tabs>
          <w:tab w:val="num" w:pos="5040"/>
        </w:tabs>
        <w:ind w:left="5040" w:hanging="360"/>
      </w:pPr>
      <w:rPr>
        <w:rFonts w:ascii="Symbol" w:hAnsi="Symbol" w:hint="default"/>
      </w:rPr>
    </w:lvl>
    <w:lvl w:ilvl="7" w:tplc="DD14C504" w:tentative="1">
      <w:start w:val="1"/>
      <w:numFmt w:val="bullet"/>
      <w:lvlText w:val=""/>
      <w:lvlJc w:val="left"/>
      <w:pPr>
        <w:tabs>
          <w:tab w:val="num" w:pos="5760"/>
        </w:tabs>
        <w:ind w:left="5760" w:hanging="360"/>
      </w:pPr>
      <w:rPr>
        <w:rFonts w:ascii="Symbol" w:hAnsi="Symbol" w:hint="default"/>
      </w:rPr>
    </w:lvl>
    <w:lvl w:ilvl="8" w:tplc="ADE235EC"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F056D98"/>
    <w:multiLevelType w:val="hybridMultilevel"/>
    <w:tmpl w:val="76BA5E90"/>
    <w:lvl w:ilvl="0" w:tplc="6766354C">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7A14161"/>
    <w:multiLevelType w:val="hybridMultilevel"/>
    <w:tmpl w:val="AB127D5A"/>
    <w:lvl w:ilvl="0" w:tplc="040C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C42FBF"/>
    <w:multiLevelType w:val="hybridMultilevel"/>
    <w:tmpl w:val="028E5658"/>
    <w:lvl w:ilvl="0" w:tplc="EFF6579E">
      <w:start w:val="1"/>
      <w:numFmt w:val="bullet"/>
      <w:lvlText w:val=""/>
      <w:lvlJc w:val="left"/>
      <w:pPr>
        <w:tabs>
          <w:tab w:val="num" w:pos="720"/>
        </w:tabs>
        <w:ind w:left="720" w:hanging="360"/>
      </w:pPr>
      <w:rPr>
        <w:rFonts w:ascii="Wingdings" w:hAnsi="Wingdings" w:hint="default"/>
      </w:rPr>
    </w:lvl>
    <w:lvl w:ilvl="1" w:tplc="E1C263BE" w:tentative="1">
      <w:start w:val="1"/>
      <w:numFmt w:val="bullet"/>
      <w:lvlText w:val=""/>
      <w:lvlJc w:val="left"/>
      <w:pPr>
        <w:tabs>
          <w:tab w:val="num" w:pos="1440"/>
        </w:tabs>
        <w:ind w:left="1440" w:hanging="360"/>
      </w:pPr>
      <w:rPr>
        <w:rFonts w:ascii="Wingdings" w:hAnsi="Wingdings" w:hint="default"/>
      </w:rPr>
    </w:lvl>
    <w:lvl w:ilvl="2" w:tplc="CA7CB344" w:tentative="1">
      <w:start w:val="1"/>
      <w:numFmt w:val="bullet"/>
      <w:lvlText w:val=""/>
      <w:lvlJc w:val="left"/>
      <w:pPr>
        <w:tabs>
          <w:tab w:val="num" w:pos="2160"/>
        </w:tabs>
        <w:ind w:left="2160" w:hanging="360"/>
      </w:pPr>
      <w:rPr>
        <w:rFonts w:ascii="Wingdings" w:hAnsi="Wingdings" w:hint="default"/>
      </w:rPr>
    </w:lvl>
    <w:lvl w:ilvl="3" w:tplc="D292C596" w:tentative="1">
      <w:start w:val="1"/>
      <w:numFmt w:val="bullet"/>
      <w:lvlText w:val=""/>
      <w:lvlJc w:val="left"/>
      <w:pPr>
        <w:tabs>
          <w:tab w:val="num" w:pos="2880"/>
        </w:tabs>
        <w:ind w:left="2880" w:hanging="360"/>
      </w:pPr>
      <w:rPr>
        <w:rFonts w:ascii="Wingdings" w:hAnsi="Wingdings" w:hint="default"/>
      </w:rPr>
    </w:lvl>
    <w:lvl w:ilvl="4" w:tplc="C534FDCE" w:tentative="1">
      <w:start w:val="1"/>
      <w:numFmt w:val="bullet"/>
      <w:lvlText w:val=""/>
      <w:lvlJc w:val="left"/>
      <w:pPr>
        <w:tabs>
          <w:tab w:val="num" w:pos="3600"/>
        </w:tabs>
        <w:ind w:left="3600" w:hanging="360"/>
      </w:pPr>
      <w:rPr>
        <w:rFonts w:ascii="Wingdings" w:hAnsi="Wingdings" w:hint="default"/>
      </w:rPr>
    </w:lvl>
    <w:lvl w:ilvl="5" w:tplc="500E9172" w:tentative="1">
      <w:start w:val="1"/>
      <w:numFmt w:val="bullet"/>
      <w:lvlText w:val=""/>
      <w:lvlJc w:val="left"/>
      <w:pPr>
        <w:tabs>
          <w:tab w:val="num" w:pos="4320"/>
        </w:tabs>
        <w:ind w:left="4320" w:hanging="360"/>
      </w:pPr>
      <w:rPr>
        <w:rFonts w:ascii="Wingdings" w:hAnsi="Wingdings" w:hint="default"/>
      </w:rPr>
    </w:lvl>
    <w:lvl w:ilvl="6" w:tplc="5BEAB9C0" w:tentative="1">
      <w:start w:val="1"/>
      <w:numFmt w:val="bullet"/>
      <w:lvlText w:val=""/>
      <w:lvlJc w:val="left"/>
      <w:pPr>
        <w:tabs>
          <w:tab w:val="num" w:pos="5040"/>
        </w:tabs>
        <w:ind w:left="5040" w:hanging="360"/>
      </w:pPr>
      <w:rPr>
        <w:rFonts w:ascii="Wingdings" w:hAnsi="Wingdings" w:hint="default"/>
      </w:rPr>
    </w:lvl>
    <w:lvl w:ilvl="7" w:tplc="9CDC1A60" w:tentative="1">
      <w:start w:val="1"/>
      <w:numFmt w:val="bullet"/>
      <w:lvlText w:val=""/>
      <w:lvlJc w:val="left"/>
      <w:pPr>
        <w:tabs>
          <w:tab w:val="num" w:pos="5760"/>
        </w:tabs>
        <w:ind w:left="5760" w:hanging="360"/>
      </w:pPr>
      <w:rPr>
        <w:rFonts w:ascii="Wingdings" w:hAnsi="Wingdings" w:hint="default"/>
      </w:rPr>
    </w:lvl>
    <w:lvl w:ilvl="8" w:tplc="5066CAD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A736D86"/>
    <w:multiLevelType w:val="hybridMultilevel"/>
    <w:tmpl w:val="17187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A64EAF"/>
    <w:multiLevelType w:val="hybridMultilevel"/>
    <w:tmpl w:val="AEEC0AE4"/>
    <w:lvl w:ilvl="0" w:tplc="06C86946">
      <w:start w:val="1"/>
      <w:numFmt w:val="bullet"/>
      <w:lvlText w:val=""/>
      <w:lvlJc w:val="left"/>
      <w:pPr>
        <w:tabs>
          <w:tab w:val="num" w:pos="720"/>
        </w:tabs>
        <w:ind w:left="720" w:hanging="360"/>
      </w:pPr>
      <w:rPr>
        <w:rFonts w:ascii="Symbol" w:hAnsi="Symbol" w:hint="default"/>
      </w:rPr>
    </w:lvl>
    <w:lvl w:ilvl="1" w:tplc="285CAF9C" w:tentative="1">
      <w:start w:val="1"/>
      <w:numFmt w:val="bullet"/>
      <w:lvlText w:val=""/>
      <w:lvlJc w:val="left"/>
      <w:pPr>
        <w:tabs>
          <w:tab w:val="num" w:pos="1440"/>
        </w:tabs>
        <w:ind w:left="1440" w:hanging="360"/>
      </w:pPr>
      <w:rPr>
        <w:rFonts w:ascii="Symbol" w:hAnsi="Symbol" w:hint="default"/>
      </w:rPr>
    </w:lvl>
    <w:lvl w:ilvl="2" w:tplc="6C346626" w:tentative="1">
      <w:start w:val="1"/>
      <w:numFmt w:val="bullet"/>
      <w:lvlText w:val=""/>
      <w:lvlJc w:val="left"/>
      <w:pPr>
        <w:tabs>
          <w:tab w:val="num" w:pos="2160"/>
        </w:tabs>
        <w:ind w:left="2160" w:hanging="360"/>
      </w:pPr>
      <w:rPr>
        <w:rFonts w:ascii="Symbol" w:hAnsi="Symbol" w:hint="default"/>
      </w:rPr>
    </w:lvl>
    <w:lvl w:ilvl="3" w:tplc="29983B10" w:tentative="1">
      <w:start w:val="1"/>
      <w:numFmt w:val="bullet"/>
      <w:lvlText w:val=""/>
      <w:lvlJc w:val="left"/>
      <w:pPr>
        <w:tabs>
          <w:tab w:val="num" w:pos="2880"/>
        </w:tabs>
        <w:ind w:left="2880" w:hanging="360"/>
      </w:pPr>
      <w:rPr>
        <w:rFonts w:ascii="Symbol" w:hAnsi="Symbol" w:hint="default"/>
      </w:rPr>
    </w:lvl>
    <w:lvl w:ilvl="4" w:tplc="226E32A6" w:tentative="1">
      <w:start w:val="1"/>
      <w:numFmt w:val="bullet"/>
      <w:lvlText w:val=""/>
      <w:lvlJc w:val="left"/>
      <w:pPr>
        <w:tabs>
          <w:tab w:val="num" w:pos="3600"/>
        </w:tabs>
        <w:ind w:left="3600" w:hanging="360"/>
      </w:pPr>
      <w:rPr>
        <w:rFonts w:ascii="Symbol" w:hAnsi="Symbol" w:hint="default"/>
      </w:rPr>
    </w:lvl>
    <w:lvl w:ilvl="5" w:tplc="96A0E668" w:tentative="1">
      <w:start w:val="1"/>
      <w:numFmt w:val="bullet"/>
      <w:lvlText w:val=""/>
      <w:lvlJc w:val="left"/>
      <w:pPr>
        <w:tabs>
          <w:tab w:val="num" w:pos="4320"/>
        </w:tabs>
        <w:ind w:left="4320" w:hanging="360"/>
      </w:pPr>
      <w:rPr>
        <w:rFonts w:ascii="Symbol" w:hAnsi="Symbol" w:hint="default"/>
      </w:rPr>
    </w:lvl>
    <w:lvl w:ilvl="6" w:tplc="D7AA4984" w:tentative="1">
      <w:start w:val="1"/>
      <w:numFmt w:val="bullet"/>
      <w:lvlText w:val=""/>
      <w:lvlJc w:val="left"/>
      <w:pPr>
        <w:tabs>
          <w:tab w:val="num" w:pos="5040"/>
        </w:tabs>
        <w:ind w:left="5040" w:hanging="360"/>
      </w:pPr>
      <w:rPr>
        <w:rFonts w:ascii="Symbol" w:hAnsi="Symbol" w:hint="default"/>
      </w:rPr>
    </w:lvl>
    <w:lvl w:ilvl="7" w:tplc="9F063756" w:tentative="1">
      <w:start w:val="1"/>
      <w:numFmt w:val="bullet"/>
      <w:lvlText w:val=""/>
      <w:lvlJc w:val="left"/>
      <w:pPr>
        <w:tabs>
          <w:tab w:val="num" w:pos="5760"/>
        </w:tabs>
        <w:ind w:left="5760" w:hanging="360"/>
      </w:pPr>
      <w:rPr>
        <w:rFonts w:ascii="Symbol" w:hAnsi="Symbol" w:hint="default"/>
      </w:rPr>
    </w:lvl>
    <w:lvl w:ilvl="8" w:tplc="665436B2"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549E691F"/>
    <w:multiLevelType w:val="hybridMultilevel"/>
    <w:tmpl w:val="3648CF00"/>
    <w:lvl w:ilvl="0" w:tplc="6766354C">
      <w:start w:val="1"/>
      <w:numFmt w:val="decimal"/>
      <w:lvlText w:val="%1."/>
      <w:lvlJc w:val="righ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55DE732F"/>
    <w:multiLevelType w:val="hybridMultilevel"/>
    <w:tmpl w:val="2B8E6160"/>
    <w:lvl w:ilvl="0" w:tplc="040C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D30F55"/>
    <w:multiLevelType w:val="hybridMultilevel"/>
    <w:tmpl w:val="36BC541E"/>
    <w:lvl w:ilvl="0" w:tplc="8360939E">
      <w:start w:val="1"/>
      <w:numFmt w:val="decimal"/>
      <w:lvlText w:val="%1."/>
      <w:lvlJc w:val="righ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E5E7FC3"/>
    <w:multiLevelType w:val="hybridMultilevel"/>
    <w:tmpl w:val="64A8E37E"/>
    <w:lvl w:ilvl="0" w:tplc="F802EB18">
      <w:start w:val="1"/>
      <w:numFmt w:val="bullet"/>
      <w:lvlText w:val=""/>
      <w:lvlJc w:val="left"/>
      <w:pPr>
        <w:tabs>
          <w:tab w:val="num" w:pos="720"/>
        </w:tabs>
        <w:ind w:left="720" w:hanging="360"/>
      </w:pPr>
      <w:rPr>
        <w:rFonts w:ascii="Symbol" w:hAnsi="Symbol" w:hint="default"/>
      </w:rPr>
    </w:lvl>
    <w:lvl w:ilvl="1" w:tplc="B14AFC28" w:tentative="1">
      <w:start w:val="1"/>
      <w:numFmt w:val="bullet"/>
      <w:lvlText w:val=""/>
      <w:lvlJc w:val="left"/>
      <w:pPr>
        <w:tabs>
          <w:tab w:val="num" w:pos="1440"/>
        </w:tabs>
        <w:ind w:left="1440" w:hanging="360"/>
      </w:pPr>
      <w:rPr>
        <w:rFonts w:ascii="Symbol" w:hAnsi="Symbol" w:hint="default"/>
      </w:rPr>
    </w:lvl>
    <w:lvl w:ilvl="2" w:tplc="289EB1CE" w:tentative="1">
      <w:start w:val="1"/>
      <w:numFmt w:val="bullet"/>
      <w:lvlText w:val=""/>
      <w:lvlJc w:val="left"/>
      <w:pPr>
        <w:tabs>
          <w:tab w:val="num" w:pos="2160"/>
        </w:tabs>
        <w:ind w:left="2160" w:hanging="360"/>
      </w:pPr>
      <w:rPr>
        <w:rFonts w:ascii="Symbol" w:hAnsi="Symbol" w:hint="default"/>
      </w:rPr>
    </w:lvl>
    <w:lvl w:ilvl="3" w:tplc="BADC29F0" w:tentative="1">
      <w:start w:val="1"/>
      <w:numFmt w:val="bullet"/>
      <w:lvlText w:val=""/>
      <w:lvlJc w:val="left"/>
      <w:pPr>
        <w:tabs>
          <w:tab w:val="num" w:pos="2880"/>
        </w:tabs>
        <w:ind w:left="2880" w:hanging="360"/>
      </w:pPr>
      <w:rPr>
        <w:rFonts w:ascii="Symbol" w:hAnsi="Symbol" w:hint="default"/>
      </w:rPr>
    </w:lvl>
    <w:lvl w:ilvl="4" w:tplc="3E84D48E" w:tentative="1">
      <w:start w:val="1"/>
      <w:numFmt w:val="bullet"/>
      <w:lvlText w:val=""/>
      <w:lvlJc w:val="left"/>
      <w:pPr>
        <w:tabs>
          <w:tab w:val="num" w:pos="3600"/>
        </w:tabs>
        <w:ind w:left="3600" w:hanging="360"/>
      </w:pPr>
      <w:rPr>
        <w:rFonts w:ascii="Symbol" w:hAnsi="Symbol" w:hint="default"/>
      </w:rPr>
    </w:lvl>
    <w:lvl w:ilvl="5" w:tplc="E6C0E4A6" w:tentative="1">
      <w:start w:val="1"/>
      <w:numFmt w:val="bullet"/>
      <w:lvlText w:val=""/>
      <w:lvlJc w:val="left"/>
      <w:pPr>
        <w:tabs>
          <w:tab w:val="num" w:pos="4320"/>
        </w:tabs>
        <w:ind w:left="4320" w:hanging="360"/>
      </w:pPr>
      <w:rPr>
        <w:rFonts w:ascii="Symbol" w:hAnsi="Symbol" w:hint="default"/>
      </w:rPr>
    </w:lvl>
    <w:lvl w:ilvl="6" w:tplc="47FC23D0" w:tentative="1">
      <w:start w:val="1"/>
      <w:numFmt w:val="bullet"/>
      <w:lvlText w:val=""/>
      <w:lvlJc w:val="left"/>
      <w:pPr>
        <w:tabs>
          <w:tab w:val="num" w:pos="5040"/>
        </w:tabs>
        <w:ind w:left="5040" w:hanging="360"/>
      </w:pPr>
      <w:rPr>
        <w:rFonts w:ascii="Symbol" w:hAnsi="Symbol" w:hint="default"/>
      </w:rPr>
    </w:lvl>
    <w:lvl w:ilvl="7" w:tplc="2BE0B974" w:tentative="1">
      <w:start w:val="1"/>
      <w:numFmt w:val="bullet"/>
      <w:lvlText w:val=""/>
      <w:lvlJc w:val="left"/>
      <w:pPr>
        <w:tabs>
          <w:tab w:val="num" w:pos="5760"/>
        </w:tabs>
        <w:ind w:left="5760" w:hanging="360"/>
      </w:pPr>
      <w:rPr>
        <w:rFonts w:ascii="Symbol" w:hAnsi="Symbol" w:hint="default"/>
      </w:rPr>
    </w:lvl>
    <w:lvl w:ilvl="8" w:tplc="388CA7DA"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64FC71AA"/>
    <w:multiLevelType w:val="hybridMultilevel"/>
    <w:tmpl w:val="9F4228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6BA97EBC"/>
    <w:multiLevelType w:val="hybridMultilevel"/>
    <w:tmpl w:val="6A9A0BE0"/>
    <w:lvl w:ilvl="0" w:tplc="D59AEF62">
      <w:start w:val="1"/>
      <w:numFmt w:val="bullet"/>
      <w:lvlText w:val=""/>
      <w:lvlJc w:val="left"/>
      <w:pPr>
        <w:tabs>
          <w:tab w:val="num" w:pos="720"/>
        </w:tabs>
        <w:ind w:left="720" w:hanging="360"/>
      </w:pPr>
      <w:rPr>
        <w:rFonts w:ascii="Symbol" w:hAnsi="Symbol" w:hint="default"/>
      </w:rPr>
    </w:lvl>
    <w:lvl w:ilvl="1" w:tplc="12BC3D78" w:tentative="1">
      <w:start w:val="1"/>
      <w:numFmt w:val="bullet"/>
      <w:lvlText w:val=""/>
      <w:lvlJc w:val="left"/>
      <w:pPr>
        <w:tabs>
          <w:tab w:val="num" w:pos="1440"/>
        </w:tabs>
        <w:ind w:left="1440" w:hanging="360"/>
      </w:pPr>
      <w:rPr>
        <w:rFonts w:ascii="Symbol" w:hAnsi="Symbol" w:hint="default"/>
      </w:rPr>
    </w:lvl>
    <w:lvl w:ilvl="2" w:tplc="8E0AC2FA" w:tentative="1">
      <w:start w:val="1"/>
      <w:numFmt w:val="bullet"/>
      <w:lvlText w:val=""/>
      <w:lvlJc w:val="left"/>
      <w:pPr>
        <w:tabs>
          <w:tab w:val="num" w:pos="2160"/>
        </w:tabs>
        <w:ind w:left="2160" w:hanging="360"/>
      </w:pPr>
      <w:rPr>
        <w:rFonts w:ascii="Symbol" w:hAnsi="Symbol" w:hint="default"/>
      </w:rPr>
    </w:lvl>
    <w:lvl w:ilvl="3" w:tplc="788E81D8" w:tentative="1">
      <w:start w:val="1"/>
      <w:numFmt w:val="bullet"/>
      <w:lvlText w:val=""/>
      <w:lvlJc w:val="left"/>
      <w:pPr>
        <w:tabs>
          <w:tab w:val="num" w:pos="2880"/>
        </w:tabs>
        <w:ind w:left="2880" w:hanging="360"/>
      </w:pPr>
      <w:rPr>
        <w:rFonts w:ascii="Symbol" w:hAnsi="Symbol" w:hint="default"/>
      </w:rPr>
    </w:lvl>
    <w:lvl w:ilvl="4" w:tplc="DB68E52E" w:tentative="1">
      <w:start w:val="1"/>
      <w:numFmt w:val="bullet"/>
      <w:lvlText w:val=""/>
      <w:lvlJc w:val="left"/>
      <w:pPr>
        <w:tabs>
          <w:tab w:val="num" w:pos="3600"/>
        </w:tabs>
        <w:ind w:left="3600" w:hanging="360"/>
      </w:pPr>
      <w:rPr>
        <w:rFonts w:ascii="Symbol" w:hAnsi="Symbol" w:hint="default"/>
      </w:rPr>
    </w:lvl>
    <w:lvl w:ilvl="5" w:tplc="B0F0584C" w:tentative="1">
      <w:start w:val="1"/>
      <w:numFmt w:val="bullet"/>
      <w:lvlText w:val=""/>
      <w:lvlJc w:val="left"/>
      <w:pPr>
        <w:tabs>
          <w:tab w:val="num" w:pos="4320"/>
        </w:tabs>
        <w:ind w:left="4320" w:hanging="360"/>
      </w:pPr>
      <w:rPr>
        <w:rFonts w:ascii="Symbol" w:hAnsi="Symbol" w:hint="default"/>
      </w:rPr>
    </w:lvl>
    <w:lvl w:ilvl="6" w:tplc="B83EBC9C" w:tentative="1">
      <w:start w:val="1"/>
      <w:numFmt w:val="bullet"/>
      <w:lvlText w:val=""/>
      <w:lvlJc w:val="left"/>
      <w:pPr>
        <w:tabs>
          <w:tab w:val="num" w:pos="5040"/>
        </w:tabs>
        <w:ind w:left="5040" w:hanging="360"/>
      </w:pPr>
      <w:rPr>
        <w:rFonts w:ascii="Symbol" w:hAnsi="Symbol" w:hint="default"/>
      </w:rPr>
    </w:lvl>
    <w:lvl w:ilvl="7" w:tplc="4C9EB4B8" w:tentative="1">
      <w:start w:val="1"/>
      <w:numFmt w:val="bullet"/>
      <w:lvlText w:val=""/>
      <w:lvlJc w:val="left"/>
      <w:pPr>
        <w:tabs>
          <w:tab w:val="num" w:pos="5760"/>
        </w:tabs>
        <w:ind w:left="5760" w:hanging="360"/>
      </w:pPr>
      <w:rPr>
        <w:rFonts w:ascii="Symbol" w:hAnsi="Symbol" w:hint="default"/>
      </w:rPr>
    </w:lvl>
    <w:lvl w:ilvl="8" w:tplc="7A209880"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73DF13E5"/>
    <w:multiLevelType w:val="hybridMultilevel"/>
    <w:tmpl w:val="D058785C"/>
    <w:lvl w:ilvl="0" w:tplc="D4D0D3C2">
      <w:start w:val="1"/>
      <w:numFmt w:val="bullet"/>
      <w:lvlText w:val=""/>
      <w:lvlJc w:val="left"/>
      <w:pPr>
        <w:tabs>
          <w:tab w:val="num" w:pos="720"/>
        </w:tabs>
        <w:ind w:left="720" w:hanging="360"/>
      </w:pPr>
      <w:rPr>
        <w:rFonts w:ascii="Symbol" w:hAnsi="Symbol" w:hint="default"/>
      </w:rPr>
    </w:lvl>
    <w:lvl w:ilvl="1" w:tplc="5F0A729C" w:tentative="1">
      <w:start w:val="1"/>
      <w:numFmt w:val="bullet"/>
      <w:lvlText w:val=""/>
      <w:lvlJc w:val="left"/>
      <w:pPr>
        <w:tabs>
          <w:tab w:val="num" w:pos="1440"/>
        </w:tabs>
        <w:ind w:left="1440" w:hanging="360"/>
      </w:pPr>
      <w:rPr>
        <w:rFonts w:ascii="Symbol" w:hAnsi="Symbol" w:hint="default"/>
      </w:rPr>
    </w:lvl>
    <w:lvl w:ilvl="2" w:tplc="503A32CA" w:tentative="1">
      <w:start w:val="1"/>
      <w:numFmt w:val="bullet"/>
      <w:lvlText w:val=""/>
      <w:lvlJc w:val="left"/>
      <w:pPr>
        <w:tabs>
          <w:tab w:val="num" w:pos="2160"/>
        </w:tabs>
        <w:ind w:left="2160" w:hanging="360"/>
      </w:pPr>
      <w:rPr>
        <w:rFonts w:ascii="Symbol" w:hAnsi="Symbol" w:hint="default"/>
      </w:rPr>
    </w:lvl>
    <w:lvl w:ilvl="3" w:tplc="FDA66D6E" w:tentative="1">
      <w:start w:val="1"/>
      <w:numFmt w:val="bullet"/>
      <w:lvlText w:val=""/>
      <w:lvlJc w:val="left"/>
      <w:pPr>
        <w:tabs>
          <w:tab w:val="num" w:pos="2880"/>
        </w:tabs>
        <w:ind w:left="2880" w:hanging="360"/>
      </w:pPr>
      <w:rPr>
        <w:rFonts w:ascii="Symbol" w:hAnsi="Symbol" w:hint="default"/>
      </w:rPr>
    </w:lvl>
    <w:lvl w:ilvl="4" w:tplc="AD4EFF98" w:tentative="1">
      <w:start w:val="1"/>
      <w:numFmt w:val="bullet"/>
      <w:lvlText w:val=""/>
      <w:lvlJc w:val="left"/>
      <w:pPr>
        <w:tabs>
          <w:tab w:val="num" w:pos="3600"/>
        </w:tabs>
        <w:ind w:left="3600" w:hanging="360"/>
      </w:pPr>
      <w:rPr>
        <w:rFonts w:ascii="Symbol" w:hAnsi="Symbol" w:hint="default"/>
      </w:rPr>
    </w:lvl>
    <w:lvl w:ilvl="5" w:tplc="02666BA2" w:tentative="1">
      <w:start w:val="1"/>
      <w:numFmt w:val="bullet"/>
      <w:lvlText w:val=""/>
      <w:lvlJc w:val="left"/>
      <w:pPr>
        <w:tabs>
          <w:tab w:val="num" w:pos="4320"/>
        </w:tabs>
        <w:ind w:left="4320" w:hanging="360"/>
      </w:pPr>
      <w:rPr>
        <w:rFonts w:ascii="Symbol" w:hAnsi="Symbol" w:hint="default"/>
      </w:rPr>
    </w:lvl>
    <w:lvl w:ilvl="6" w:tplc="88A21ACE" w:tentative="1">
      <w:start w:val="1"/>
      <w:numFmt w:val="bullet"/>
      <w:lvlText w:val=""/>
      <w:lvlJc w:val="left"/>
      <w:pPr>
        <w:tabs>
          <w:tab w:val="num" w:pos="5040"/>
        </w:tabs>
        <w:ind w:left="5040" w:hanging="360"/>
      </w:pPr>
      <w:rPr>
        <w:rFonts w:ascii="Symbol" w:hAnsi="Symbol" w:hint="default"/>
      </w:rPr>
    </w:lvl>
    <w:lvl w:ilvl="7" w:tplc="C87251C2" w:tentative="1">
      <w:start w:val="1"/>
      <w:numFmt w:val="bullet"/>
      <w:lvlText w:val=""/>
      <w:lvlJc w:val="left"/>
      <w:pPr>
        <w:tabs>
          <w:tab w:val="num" w:pos="5760"/>
        </w:tabs>
        <w:ind w:left="5760" w:hanging="360"/>
      </w:pPr>
      <w:rPr>
        <w:rFonts w:ascii="Symbol" w:hAnsi="Symbol" w:hint="default"/>
      </w:rPr>
    </w:lvl>
    <w:lvl w:ilvl="8" w:tplc="DDA0D1DC"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7E380D49"/>
    <w:multiLevelType w:val="hybridMultilevel"/>
    <w:tmpl w:val="9872D424"/>
    <w:lvl w:ilvl="0" w:tplc="6766354C">
      <w:start w:val="1"/>
      <w:numFmt w:val="decimal"/>
      <w:lvlText w:val="%1."/>
      <w:lvlJc w:val="righ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18"/>
  </w:num>
  <w:num w:numId="2">
    <w:abstractNumId w:val="3"/>
  </w:num>
  <w:num w:numId="3">
    <w:abstractNumId w:val="0"/>
  </w:num>
  <w:num w:numId="4">
    <w:abstractNumId w:val="7"/>
  </w:num>
  <w:num w:numId="5">
    <w:abstractNumId w:val="11"/>
  </w:num>
  <w:num w:numId="6">
    <w:abstractNumId w:val="8"/>
  </w:num>
  <w:num w:numId="7">
    <w:abstractNumId w:val="17"/>
  </w:num>
  <w:num w:numId="8">
    <w:abstractNumId w:val="20"/>
  </w:num>
  <w:num w:numId="9">
    <w:abstractNumId w:val="6"/>
  </w:num>
  <w:num w:numId="10">
    <w:abstractNumId w:val="12"/>
  </w:num>
  <w:num w:numId="11">
    <w:abstractNumId w:val="1"/>
  </w:num>
  <w:num w:numId="12">
    <w:abstractNumId w:val="10"/>
  </w:num>
  <w:num w:numId="13">
    <w:abstractNumId w:val="15"/>
  </w:num>
  <w:num w:numId="14">
    <w:abstractNumId w:val="4"/>
  </w:num>
  <w:num w:numId="15">
    <w:abstractNumId w:val="9"/>
  </w:num>
  <w:num w:numId="16">
    <w:abstractNumId w:val="5"/>
  </w:num>
  <w:num w:numId="17">
    <w:abstractNumId w:val="21"/>
  </w:num>
  <w:num w:numId="18">
    <w:abstractNumId w:val="14"/>
  </w:num>
  <w:num w:numId="19">
    <w:abstractNumId w:val="2"/>
  </w:num>
  <w:num w:numId="20">
    <w:abstractNumId w:val="16"/>
  </w:num>
  <w:num w:numId="21">
    <w:abstractNumId w:val="13"/>
  </w:num>
  <w:num w:numId="22">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oNotTrackFormatting/>
  <w:defaultTabStop w:val="720"/>
  <w:hyphenationZone w:val="425"/>
  <w:characterSpacingControl w:val="doNotCompress"/>
  <w:hdrShapeDefaults>
    <o:shapedefaults v:ext="edit" spidmax="2054"/>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488"/>
    <w:rsid w:val="000004E7"/>
    <w:rsid w:val="000011A7"/>
    <w:rsid w:val="000013AC"/>
    <w:rsid w:val="000018A0"/>
    <w:rsid w:val="00001E33"/>
    <w:rsid w:val="0000285D"/>
    <w:rsid w:val="000029E0"/>
    <w:rsid w:val="000039D0"/>
    <w:rsid w:val="0000571B"/>
    <w:rsid w:val="00007E64"/>
    <w:rsid w:val="000110B7"/>
    <w:rsid w:val="0001181D"/>
    <w:rsid w:val="00013C55"/>
    <w:rsid w:val="00013CC8"/>
    <w:rsid w:val="00013DA9"/>
    <w:rsid w:val="000146AD"/>
    <w:rsid w:val="00015D24"/>
    <w:rsid w:val="00016377"/>
    <w:rsid w:val="000165B2"/>
    <w:rsid w:val="00017B63"/>
    <w:rsid w:val="000203F2"/>
    <w:rsid w:val="00020D6F"/>
    <w:rsid w:val="00021119"/>
    <w:rsid w:val="0002121C"/>
    <w:rsid w:val="000228A5"/>
    <w:rsid w:val="00022E48"/>
    <w:rsid w:val="00023848"/>
    <w:rsid w:val="0002387B"/>
    <w:rsid w:val="00023F66"/>
    <w:rsid w:val="00024938"/>
    <w:rsid w:val="00024A53"/>
    <w:rsid w:val="00025271"/>
    <w:rsid w:val="000261F4"/>
    <w:rsid w:val="00027B09"/>
    <w:rsid w:val="00031703"/>
    <w:rsid w:val="00032C3A"/>
    <w:rsid w:val="0003342C"/>
    <w:rsid w:val="0003401D"/>
    <w:rsid w:val="000348B5"/>
    <w:rsid w:val="00034F36"/>
    <w:rsid w:val="000353E3"/>
    <w:rsid w:val="00035FF5"/>
    <w:rsid w:val="000361B0"/>
    <w:rsid w:val="00036C32"/>
    <w:rsid w:val="00036F01"/>
    <w:rsid w:val="00037B30"/>
    <w:rsid w:val="00040B40"/>
    <w:rsid w:val="000426B6"/>
    <w:rsid w:val="0004400C"/>
    <w:rsid w:val="0004509C"/>
    <w:rsid w:val="00045C25"/>
    <w:rsid w:val="00045F7F"/>
    <w:rsid w:val="00046626"/>
    <w:rsid w:val="00046E18"/>
    <w:rsid w:val="00050ADC"/>
    <w:rsid w:val="00050C30"/>
    <w:rsid w:val="00051A6B"/>
    <w:rsid w:val="00052FC2"/>
    <w:rsid w:val="00053195"/>
    <w:rsid w:val="00054207"/>
    <w:rsid w:val="00054268"/>
    <w:rsid w:val="00054545"/>
    <w:rsid w:val="00055A1E"/>
    <w:rsid w:val="0005690D"/>
    <w:rsid w:val="00056BC1"/>
    <w:rsid w:val="00057434"/>
    <w:rsid w:val="00060A0C"/>
    <w:rsid w:val="00060D31"/>
    <w:rsid w:val="000612BB"/>
    <w:rsid w:val="00062387"/>
    <w:rsid w:val="00062730"/>
    <w:rsid w:val="00062B6D"/>
    <w:rsid w:val="00062F28"/>
    <w:rsid w:val="00063806"/>
    <w:rsid w:val="0006409E"/>
    <w:rsid w:val="00064FC1"/>
    <w:rsid w:val="00067AAC"/>
    <w:rsid w:val="00067F24"/>
    <w:rsid w:val="000705F5"/>
    <w:rsid w:val="0007093C"/>
    <w:rsid w:val="00072147"/>
    <w:rsid w:val="0007234B"/>
    <w:rsid w:val="00072953"/>
    <w:rsid w:val="00073BEB"/>
    <w:rsid w:val="000740DA"/>
    <w:rsid w:val="000741EB"/>
    <w:rsid w:val="000753FF"/>
    <w:rsid w:val="00075AAB"/>
    <w:rsid w:val="00076563"/>
    <w:rsid w:val="0007659E"/>
    <w:rsid w:val="00077FED"/>
    <w:rsid w:val="00080554"/>
    <w:rsid w:val="0008139B"/>
    <w:rsid w:val="00082267"/>
    <w:rsid w:val="000825AF"/>
    <w:rsid w:val="00082ED0"/>
    <w:rsid w:val="000832EE"/>
    <w:rsid w:val="00084701"/>
    <w:rsid w:val="00084D0A"/>
    <w:rsid w:val="000929FD"/>
    <w:rsid w:val="00092C9C"/>
    <w:rsid w:val="00093275"/>
    <w:rsid w:val="0009384F"/>
    <w:rsid w:val="00093C31"/>
    <w:rsid w:val="00094214"/>
    <w:rsid w:val="0009460C"/>
    <w:rsid w:val="00095B71"/>
    <w:rsid w:val="0009736F"/>
    <w:rsid w:val="000A0350"/>
    <w:rsid w:val="000A04A5"/>
    <w:rsid w:val="000A1705"/>
    <w:rsid w:val="000A23D7"/>
    <w:rsid w:val="000A2411"/>
    <w:rsid w:val="000A3D2E"/>
    <w:rsid w:val="000A502D"/>
    <w:rsid w:val="000A63DC"/>
    <w:rsid w:val="000A67FD"/>
    <w:rsid w:val="000A6875"/>
    <w:rsid w:val="000A6C52"/>
    <w:rsid w:val="000A74BD"/>
    <w:rsid w:val="000A7F71"/>
    <w:rsid w:val="000B00D4"/>
    <w:rsid w:val="000B01B7"/>
    <w:rsid w:val="000B027D"/>
    <w:rsid w:val="000B06A5"/>
    <w:rsid w:val="000B13E0"/>
    <w:rsid w:val="000B21E2"/>
    <w:rsid w:val="000B2956"/>
    <w:rsid w:val="000B49C8"/>
    <w:rsid w:val="000B4A95"/>
    <w:rsid w:val="000B51E0"/>
    <w:rsid w:val="000B537C"/>
    <w:rsid w:val="000B6CC8"/>
    <w:rsid w:val="000C0722"/>
    <w:rsid w:val="000C0A21"/>
    <w:rsid w:val="000C0EB6"/>
    <w:rsid w:val="000C3FA4"/>
    <w:rsid w:val="000C48E3"/>
    <w:rsid w:val="000C50D4"/>
    <w:rsid w:val="000C516D"/>
    <w:rsid w:val="000C6543"/>
    <w:rsid w:val="000C7049"/>
    <w:rsid w:val="000C743C"/>
    <w:rsid w:val="000C79EC"/>
    <w:rsid w:val="000C7A63"/>
    <w:rsid w:val="000C7E62"/>
    <w:rsid w:val="000D05E9"/>
    <w:rsid w:val="000D16E8"/>
    <w:rsid w:val="000D1FEC"/>
    <w:rsid w:val="000D2F77"/>
    <w:rsid w:val="000E137F"/>
    <w:rsid w:val="000E2AEB"/>
    <w:rsid w:val="000E30CA"/>
    <w:rsid w:val="000E41B2"/>
    <w:rsid w:val="000E44DE"/>
    <w:rsid w:val="000E7E85"/>
    <w:rsid w:val="000F26CC"/>
    <w:rsid w:val="000F26D7"/>
    <w:rsid w:val="000F3B29"/>
    <w:rsid w:val="000F581F"/>
    <w:rsid w:val="000F5DC5"/>
    <w:rsid w:val="001001BE"/>
    <w:rsid w:val="001005F6"/>
    <w:rsid w:val="001015D5"/>
    <w:rsid w:val="0010347D"/>
    <w:rsid w:val="0010391D"/>
    <w:rsid w:val="00105144"/>
    <w:rsid w:val="00105C53"/>
    <w:rsid w:val="00111172"/>
    <w:rsid w:val="00111B99"/>
    <w:rsid w:val="001127EA"/>
    <w:rsid w:val="00112B3C"/>
    <w:rsid w:val="001147EA"/>
    <w:rsid w:val="0011511B"/>
    <w:rsid w:val="001162E2"/>
    <w:rsid w:val="001164A6"/>
    <w:rsid w:val="0011767E"/>
    <w:rsid w:val="00120E0C"/>
    <w:rsid w:val="00121721"/>
    <w:rsid w:val="00122816"/>
    <w:rsid w:val="0012393B"/>
    <w:rsid w:val="00124F75"/>
    <w:rsid w:val="001254FA"/>
    <w:rsid w:val="00125BB3"/>
    <w:rsid w:val="00125D52"/>
    <w:rsid w:val="00127071"/>
    <w:rsid w:val="00127408"/>
    <w:rsid w:val="001274EE"/>
    <w:rsid w:val="001278F1"/>
    <w:rsid w:val="001313E4"/>
    <w:rsid w:val="00131764"/>
    <w:rsid w:val="00131ADC"/>
    <w:rsid w:val="0013406D"/>
    <w:rsid w:val="00136971"/>
    <w:rsid w:val="00136A83"/>
    <w:rsid w:val="00137536"/>
    <w:rsid w:val="00140AD1"/>
    <w:rsid w:val="001412C3"/>
    <w:rsid w:val="00141390"/>
    <w:rsid w:val="001420E4"/>
    <w:rsid w:val="00142135"/>
    <w:rsid w:val="001427A7"/>
    <w:rsid w:val="00145AFF"/>
    <w:rsid w:val="0014644A"/>
    <w:rsid w:val="00150141"/>
    <w:rsid w:val="00151326"/>
    <w:rsid w:val="001516D3"/>
    <w:rsid w:val="00151C81"/>
    <w:rsid w:val="001528BF"/>
    <w:rsid w:val="001546EC"/>
    <w:rsid w:val="0015577D"/>
    <w:rsid w:val="00155B0B"/>
    <w:rsid w:val="00155BD9"/>
    <w:rsid w:val="00155E44"/>
    <w:rsid w:val="0015759F"/>
    <w:rsid w:val="0016033E"/>
    <w:rsid w:val="001621EA"/>
    <w:rsid w:val="001624F8"/>
    <w:rsid w:val="001633F0"/>
    <w:rsid w:val="001635E8"/>
    <w:rsid w:val="001640C6"/>
    <w:rsid w:val="00164696"/>
    <w:rsid w:val="00164886"/>
    <w:rsid w:val="001674D6"/>
    <w:rsid w:val="00173709"/>
    <w:rsid w:val="0017373B"/>
    <w:rsid w:val="001742C3"/>
    <w:rsid w:val="00177F3B"/>
    <w:rsid w:val="001800DE"/>
    <w:rsid w:val="00180253"/>
    <w:rsid w:val="00180BC9"/>
    <w:rsid w:val="00181A17"/>
    <w:rsid w:val="001821EC"/>
    <w:rsid w:val="0018241D"/>
    <w:rsid w:val="00182C69"/>
    <w:rsid w:val="00182D5B"/>
    <w:rsid w:val="0018381B"/>
    <w:rsid w:val="00183FEB"/>
    <w:rsid w:val="0018582C"/>
    <w:rsid w:val="00185C4F"/>
    <w:rsid w:val="00190105"/>
    <w:rsid w:val="001903B1"/>
    <w:rsid w:val="001909EE"/>
    <w:rsid w:val="00192747"/>
    <w:rsid w:val="001944F8"/>
    <w:rsid w:val="00194BB7"/>
    <w:rsid w:val="00195784"/>
    <w:rsid w:val="001966D5"/>
    <w:rsid w:val="001A048D"/>
    <w:rsid w:val="001A08E2"/>
    <w:rsid w:val="001A108F"/>
    <w:rsid w:val="001A11F9"/>
    <w:rsid w:val="001A21D1"/>
    <w:rsid w:val="001A2B6B"/>
    <w:rsid w:val="001A4254"/>
    <w:rsid w:val="001A478E"/>
    <w:rsid w:val="001A490B"/>
    <w:rsid w:val="001A4C93"/>
    <w:rsid w:val="001A4CE9"/>
    <w:rsid w:val="001A5287"/>
    <w:rsid w:val="001A6274"/>
    <w:rsid w:val="001A6638"/>
    <w:rsid w:val="001A7910"/>
    <w:rsid w:val="001B09C1"/>
    <w:rsid w:val="001B0D01"/>
    <w:rsid w:val="001B1196"/>
    <w:rsid w:val="001B1898"/>
    <w:rsid w:val="001B1E2B"/>
    <w:rsid w:val="001B1F95"/>
    <w:rsid w:val="001B273E"/>
    <w:rsid w:val="001B30A4"/>
    <w:rsid w:val="001B3B76"/>
    <w:rsid w:val="001B4088"/>
    <w:rsid w:val="001B4D70"/>
    <w:rsid w:val="001B55DA"/>
    <w:rsid w:val="001B6673"/>
    <w:rsid w:val="001B6761"/>
    <w:rsid w:val="001B6791"/>
    <w:rsid w:val="001C0292"/>
    <w:rsid w:val="001C058E"/>
    <w:rsid w:val="001C23A3"/>
    <w:rsid w:val="001C4A6D"/>
    <w:rsid w:val="001C4C87"/>
    <w:rsid w:val="001C4F01"/>
    <w:rsid w:val="001D0419"/>
    <w:rsid w:val="001D0678"/>
    <w:rsid w:val="001D068A"/>
    <w:rsid w:val="001D09E5"/>
    <w:rsid w:val="001D0FED"/>
    <w:rsid w:val="001D1628"/>
    <w:rsid w:val="001D1675"/>
    <w:rsid w:val="001D16EB"/>
    <w:rsid w:val="001D2BAD"/>
    <w:rsid w:val="001D2F13"/>
    <w:rsid w:val="001D4193"/>
    <w:rsid w:val="001D47BB"/>
    <w:rsid w:val="001D4813"/>
    <w:rsid w:val="001D4DC5"/>
    <w:rsid w:val="001D5268"/>
    <w:rsid w:val="001D5469"/>
    <w:rsid w:val="001D7022"/>
    <w:rsid w:val="001E0A7B"/>
    <w:rsid w:val="001E1BC5"/>
    <w:rsid w:val="001E27AF"/>
    <w:rsid w:val="001E3676"/>
    <w:rsid w:val="001E493B"/>
    <w:rsid w:val="001E5F38"/>
    <w:rsid w:val="001E6D12"/>
    <w:rsid w:val="001E7A12"/>
    <w:rsid w:val="001E7BCB"/>
    <w:rsid w:val="001F26B7"/>
    <w:rsid w:val="001F2EA5"/>
    <w:rsid w:val="001F313F"/>
    <w:rsid w:val="001F4FAD"/>
    <w:rsid w:val="001F5D44"/>
    <w:rsid w:val="001F6B8B"/>
    <w:rsid w:val="001F6F2E"/>
    <w:rsid w:val="001F744E"/>
    <w:rsid w:val="002000E3"/>
    <w:rsid w:val="002005DE"/>
    <w:rsid w:val="002042FE"/>
    <w:rsid w:val="002077F3"/>
    <w:rsid w:val="002102F9"/>
    <w:rsid w:val="00210981"/>
    <w:rsid w:val="00211794"/>
    <w:rsid w:val="00211BD3"/>
    <w:rsid w:val="00211DB8"/>
    <w:rsid w:val="0021238C"/>
    <w:rsid w:val="002139CA"/>
    <w:rsid w:val="00214A49"/>
    <w:rsid w:val="00214B6E"/>
    <w:rsid w:val="00216993"/>
    <w:rsid w:val="0021700C"/>
    <w:rsid w:val="00217414"/>
    <w:rsid w:val="00217501"/>
    <w:rsid w:val="00217FB6"/>
    <w:rsid w:val="00220458"/>
    <w:rsid w:val="002212BC"/>
    <w:rsid w:val="00221A6A"/>
    <w:rsid w:val="00222578"/>
    <w:rsid w:val="00222A46"/>
    <w:rsid w:val="00223321"/>
    <w:rsid w:val="002233B4"/>
    <w:rsid w:val="00223CF9"/>
    <w:rsid w:val="00224E00"/>
    <w:rsid w:val="00225C8E"/>
    <w:rsid w:val="0022751D"/>
    <w:rsid w:val="00227AE2"/>
    <w:rsid w:val="00227CD0"/>
    <w:rsid w:val="00232EA8"/>
    <w:rsid w:val="0023375F"/>
    <w:rsid w:val="00234D93"/>
    <w:rsid w:val="00235277"/>
    <w:rsid w:val="002357E5"/>
    <w:rsid w:val="00235B17"/>
    <w:rsid w:val="00235B1F"/>
    <w:rsid w:val="002362B1"/>
    <w:rsid w:val="00236832"/>
    <w:rsid w:val="00236D20"/>
    <w:rsid w:val="00236E06"/>
    <w:rsid w:val="002408C6"/>
    <w:rsid w:val="00241809"/>
    <w:rsid w:val="00241A29"/>
    <w:rsid w:val="00241F09"/>
    <w:rsid w:val="00242429"/>
    <w:rsid w:val="00243377"/>
    <w:rsid w:val="002433EE"/>
    <w:rsid w:val="0024641D"/>
    <w:rsid w:val="00246D23"/>
    <w:rsid w:val="0024710A"/>
    <w:rsid w:val="00247629"/>
    <w:rsid w:val="00247E3A"/>
    <w:rsid w:val="00247EFE"/>
    <w:rsid w:val="002501C3"/>
    <w:rsid w:val="00250495"/>
    <w:rsid w:val="00250553"/>
    <w:rsid w:val="0025127B"/>
    <w:rsid w:val="002517C3"/>
    <w:rsid w:val="00252C74"/>
    <w:rsid w:val="00252C80"/>
    <w:rsid w:val="0025355C"/>
    <w:rsid w:val="00253722"/>
    <w:rsid w:val="002538E9"/>
    <w:rsid w:val="00253EA8"/>
    <w:rsid w:val="002553CE"/>
    <w:rsid w:val="0025577B"/>
    <w:rsid w:val="00257764"/>
    <w:rsid w:val="002620DD"/>
    <w:rsid w:val="00262491"/>
    <w:rsid w:val="00262C13"/>
    <w:rsid w:val="00263502"/>
    <w:rsid w:val="002639F1"/>
    <w:rsid w:val="00264D80"/>
    <w:rsid w:val="00265DE8"/>
    <w:rsid w:val="00266185"/>
    <w:rsid w:val="002661AE"/>
    <w:rsid w:val="00272366"/>
    <w:rsid w:val="0027346F"/>
    <w:rsid w:val="002735DC"/>
    <w:rsid w:val="0027361D"/>
    <w:rsid w:val="002738D7"/>
    <w:rsid w:val="0027470D"/>
    <w:rsid w:val="00274AB7"/>
    <w:rsid w:val="00274ADC"/>
    <w:rsid w:val="00274E96"/>
    <w:rsid w:val="002756F7"/>
    <w:rsid w:val="002758C7"/>
    <w:rsid w:val="002801C0"/>
    <w:rsid w:val="00280564"/>
    <w:rsid w:val="002829B5"/>
    <w:rsid w:val="00282AC0"/>
    <w:rsid w:val="002837ED"/>
    <w:rsid w:val="00283923"/>
    <w:rsid w:val="00284C15"/>
    <w:rsid w:val="00286293"/>
    <w:rsid w:val="00286AF5"/>
    <w:rsid w:val="00286DDA"/>
    <w:rsid w:val="002870AC"/>
    <w:rsid w:val="00292702"/>
    <w:rsid w:val="002928CD"/>
    <w:rsid w:val="00292C37"/>
    <w:rsid w:val="00293F88"/>
    <w:rsid w:val="00293F93"/>
    <w:rsid w:val="0029561A"/>
    <w:rsid w:val="00295F17"/>
    <w:rsid w:val="00296BC7"/>
    <w:rsid w:val="002A06CF"/>
    <w:rsid w:val="002A0B3C"/>
    <w:rsid w:val="002A1195"/>
    <w:rsid w:val="002A1E3F"/>
    <w:rsid w:val="002A1F4D"/>
    <w:rsid w:val="002A2BAC"/>
    <w:rsid w:val="002A3313"/>
    <w:rsid w:val="002A3A43"/>
    <w:rsid w:val="002A45E7"/>
    <w:rsid w:val="002A6574"/>
    <w:rsid w:val="002A71F2"/>
    <w:rsid w:val="002A7263"/>
    <w:rsid w:val="002B00E0"/>
    <w:rsid w:val="002B035B"/>
    <w:rsid w:val="002B0EFF"/>
    <w:rsid w:val="002B1865"/>
    <w:rsid w:val="002B3993"/>
    <w:rsid w:val="002B4475"/>
    <w:rsid w:val="002B63F2"/>
    <w:rsid w:val="002B652A"/>
    <w:rsid w:val="002B6958"/>
    <w:rsid w:val="002B6C79"/>
    <w:rsid w:val="002B74EE"/>
    <w:rsid w:val="002C00F9"/>
    <w:rsid w:val="002C092D"/>
    <w:rsid w:val="002C09F7"/>
    <w:rsid w:val="002C147C"/>
    <w:rsid w:val="002C1508"/>
    <w:rsid w:val="002C2D5A"/>
    <w:rsid w:val="002C40F6"/>
    <w:rsid w:val="002C6419"/>
    <w:rsid w:val="002C7D5E"/>
    <w:rsid w:val="002D1C50"/>
    <w:rsid w:val="002D2977"/>
    <w:rsid w:val="002D4F67"/>
    <w:rsid w:val="002D71AD"/>
    <w:rsid w:val="002D77DD"/>
    <w:rsid w:val="002E158E"/>
    <w:rsid w:val="002E160A"/>
    <w:rsid w:val="002E268B"/>
    <w:rsid w:val="002E2E62"/>
    <w:rsid w:val="002E34D2"/>
    <w:rsid w:val="002E35B8"/>
    <w:rsid w:val="002E39B6"/>
    <w:rsid w:val="002E6BA0"/>
    <w:rsid w:val="002E7692"/>
    <w:rsid w:val="002F1275"/>
    <w:rsid w:val="002F182B"/>
    <w:rsid w:val="002F2A0B"/>
    <w:rsid w:val="002F317B"/>
    <w:rsid w:val="002F3832"/>
    <w:rsid w:val="002F38FC"/>
    <w:rsid w:val="002F3D88"/>
    <w:rsid w:val="002F3E13"/>
    <w:rsid w:val="002F3F4C"/>
    <w:rsid w:val="002F5ECC"/>
    <w:rsid w:val="002F7508"/>
    <w:rsid w:val="002F7C3E"/>
    <w:rsid w:val="00300CEE"/>
    <w:rsid w:val="00303EB9"/>
    <w:rsid w:val="00305D1C"/>
    <w:rsid w:val="00306653"/>
    <w:rsid w:val="00307235"/>
    <w:rsid w:val="003079B4"/>
    <w:rsid w:val="00312230"/>
    <w:rsid w:val="003126F3"/>
    <w:rsid w:val="00316AEA"/>
    <w:rsid w:val="00316E33"/>
    <w:rsid w:val="00316E63"/>
    <w:rsid w:val="00317281"/>
    <w:rsid w:val="003173BD"/>
    <w:rsid w:val="00320559"/>
    <w:rsid w:val="00321C34"/>
    <w:rsid w:val="003226CF"/>
    <w:rsid w:val="00322DF2"/>
    <w:rsid w:val="00323B00"/>
    <w:rsid w:val="00323DC2"/>
    <w:rsid w:val="00324BC0"/>
    <w:rsid w:val="003267C1"/>
    <w:rsid w:val="00326A41"/>
    <w:rsid w:val="00327EF9"/>
    <w:rsid w:val="00330EBD"/>
    <w:rsid w:val="00330EC4"/>
    <w:rsid w:val="00331BD9"/>
    <w:rsid w:val="0033312C"/>
    <w:rsid w:val="0033366E"/>
    <w:rsid w:val="00333AAA"/>
    <w:rsid w:val="00334C01"/>
    <w:rsid w:val="0033538E"/>
    <w:rsid w:val="00335523"/>
    <w:rsid w:val="00337CDF"/>
    <w:rsid w:val="00337F02"/>
    <w:rsid w:val="00340214"/>
    <w:rsid w:val="003426D9"/>
    <w:rsid w:val="00343896"/>
    <w:rsid w:val="00343F0E"/>
    <w:rsid w:val="00345EB1"/>
    <w:rsid w:val="00352750"/>
    <w:rsid w:val="0035288C"/>
    <w:rsid w:val="0035557D"/>
    <w:rsid w:val="00355833"/>
    <w:rsid w:val="00355CFE"/>
    <w:rsid w:val="00355ECC"/>
    <w:rsid w:val="00356C10"/>
    <w:rsid w:val="003575C8"/>
    <w:rsid w:val="0035779D"/>
    <w:rsid w:val="003578C9"/>
    <w:rsid w:val="00360452"/>
    <w:rsid w:val="00360A67"/>
    <w:rsid w:val="00360C5D"/>
    <w:rsid w:val="00360C68"/>
    <w:rsid w:val="0036142A"/>
    <w:rsid w:val="00361594"/>
    <w:rsid w:val="00362702"/>
    <w:rsid w:val="00367D58"/>
    <w:rsid w:val="00370AD9"/>
    <w:rsid w:val="00372546"/>
    <w:rsid w:val="0037315B"/>
    <w:rsid w:val="00373869"/>
    <w:rsid w:val="00373FBF"/>
    <w:rsid w:val="00374652"/>
    <w:rsid w:val="00374674"/>
    <w:rsid w:val="00376746"/>
    <w:rsid w:val="003779EB"/>
    <w:rsid w:val="00380A38"/>
    <w:rsid w:val="00382E7C"/>
    <w:rsid w:val="00384F67"/>
    <w:rsid w:val="0038526D"/>
    <w:rsid w:val="00385393"/>
    <w:rsid w:val="0038636F"/>
    <w:rsid w:val="003874B1"/>
    <w:rsid w:val="0038777C"/>
    <w:rsid w:val="00390067"/>
    <w:rsid w:val="00390573"/>
    <w:rsid w:val="00390591"/>
    <w:rsid w:val="00390F88"/>
    <w:rsid w:val="00391AAD"/>
    <w:rsid w:val="00391FA5"/>
    <w:rsid w:val="0039266F"/>
    <w:rsid w:val="003931B9"/>
    <w:rsid w:val="00393288"/>
    <w:rsid w:val="00393628"/>
    <w:rsid w:val="00394D7E"/>
    <w:rsid w:val="0039589E"/>
    <w:rsid w:val="00395CE0"/>
    <w:rsid w:val="00396329"/>
    <w:rsid w:val="00396AB9"/>
    <w:rsid w:val="003A2FBA"/>
    <w:rsid w:val="003A41F8"/>
    <w:rsid w:val="003A42FF"/>
    <w:rsid w:val="003A5087"/>
    <w:rsid w:val="003A5CE4"/>
    <w:rsid w:val="003A65A3"/>
    <w:rsid w:val="003A7966"/>
    <w:rsid w:val="003B02EA"/>
    <w:rsid w:val="003B0DCE"/>
    <w:rsid w:val="003B19A2"/>
    <w:rsid w:val="003B2A2F"/>
    <w:rsid w:val="003B2F18"/>
    <w:rsid w:val="003B2FAD"/>
    <w:rsid w:val="003B3193"/>
    <w:rsid w:val="003B5835"/>
    <w:rsid w:val="003B6790"/>
    <w:rsid w:val="003B6885"/>
    <w:rsid w:val="003B740E"/>
    <w:rsid w:val="003B7DAE"/>
    <w:rsid w:val="003C0131"/>
    <w:rsid w:val="003C0BAD"/>
    <w:rsid w:val="003C0CBD"/>
    <w:rsid w:val="003C1005"/>
    <w:rsid w:val="003C1BB9"/>
    <w:rsid w:val="003C2E78"/>
    <w:rsid w:val="003C5999"/>
    <w:rsid w:val="003C7AB9"/>
    <w:rsid w:val="003C7E5F"/>
    <w:rsid w:val="003D0611"/>
    <w:rsid w:val="003D18EA"/>
    <w:rsid w:val="003D2336"/>
    <w:rsid w:val="003D2A7F"/>
    <w:rsid w:val="003D41D8"/>
    <w:rsid w:val="003D5493"/>
    <w:rsid w:val="003D639F"/>
    <w:rsid w:val="003D73A3"/>
    <w:rsid w:val="003D75C0"/>
    <w:rsid w:val="003E013C"/>
    <w:rsid w:val="003E096D"/>
    <w:rsid w:val="003E1211"/>
    <w:rsid w:val="003E1C70"/>
    <w:rsid w:val="003E2493"/>
    <w:rsid w:val="003E2D16"/>
    <w:rsid w:val="003E2FAE"/>
    <w:rsid w:val="003E355D"/>
    <w:rsid w:val="003E3835"/>
    <w:rsid w:val="003E3902"/>
    <w:rsid w:val="003E3EC1"/>
    <w:rsid w:val="003E4163"/>
    <w:rsid w:val="003E63ED"/>
    <w:rsid w:val="003E7DA3"/>
    <w:rsid w:val="003F03D5"/>
    <w:rsid w:val="003F0AB1"/>
    <w:rsid w:val="003F13E0"/>
    <w:rsid w:val="003F21C3"/>
    <w:rsid w:val="003F336B"/>
    <w:rsid w:val="003F3F9F"/>
    <w:rsid w:val="003F41D2"/>
    <w:rsid w:val="003F4AA6"/>
    <w:rsid w:val="003F5FC5"/>
    <w:rsid w:val="003F6903"/>
    <w:rsid w:val="003F7438"/>
    <w:rsid w:val="003F7D61"/>
    <w:rsid w:val="00401AC4"/>
    <w:rsid w:val="00401D6E"/>
    <w:rsid w:val="004056C3"/>
    <w:rsid w:val="00405800"/>
    <w:rsid w:val="0040662B"/>
    <w:rsid w:val="00406C99"/>
    <w:rsid w:val="00410117"/>
    <w:rsid w:val="00411774"/>
    <w:rsid w:val="00411A60"/>
    <w:rsid w:val="00411D09"/>
    <w:rsid w:val="004140AB"/>
    <w:rsid w:val="00414A93"/>
    <w:rsid w:val="00414B90"/>
    <w:rsid w:val="004170AC"/>
    <w:rsid w:val="00417EA8"/>
    <w:rsid w:val="004208E3"/>
    <w:rsid w:val="004222E5"/>
    <w:rsid w:val="004247C1"/>
    <w:rsid w:val="00424AE9"/>
    <w:rsid w:val="00426873"/>
    <w:rsid w:val="004272A3"/>
    <w:rsid w:val="00430A31"/>
    <w:rsid w:val="00431533"/>
    <w:rsid w:val="00431A1B"/>
    <w:rsid w:val="00432687"/>
    <w:rsid w:val="004341E3"/>
    <w:rsid w:val="00435618"/>
    <w:rsid w:val="00436656"/>
    <w:rsid w:val="00436891"/>
    <w:rsid w:val="00437C54"/>
    <w:rsid w:val="004411BE"/>
    <w:rsid w:val="00443345"/>
    <w:rsid w:val="004449FE"/>
    <w:rsid w:val="004451BE"/>
    <w:rsid w:val="004452B8"/>
    <w:rsid w:val="00446332"/>
    <w:rsid w:val="00447721"/>
    <w:rsid w:val="00451454"/>
    <w:rsid w:val="00451C22"/>
    <w:rsid w:val="0045251F"/>
    <w:rsid w:val="00453633"/>
    <w:rsid w:val="00453A02"/>
    <w:rsid w:val="004544C9"/>
    <w:rsid w:val="004557EB"/>
    <w:rsid w:val="00456BFA"/>
    <w:rsid w:val="004604B9"/>
    <w:rsid w:val="0046113A"/>
    <w:rsid w:val="004612E1"/>
    <w:rsid w:val="00461611"/>
    <w:rsid w:val="00462048"/>
    <w:rsid w:val="0046252F"/>
    <w:rsid w:val="004661E6"/>
    <w:rsid w:val="004706F6"/>
    <w:rsid w:val="00470B1B"/>
    <w:rsid w:val="00471E08"/>
    <w:rsid w:val="00473076"/>
    <w:rsid w:val="004733F7"/>
    <w:rsid w:val="0047368E"/>
    <w:rsid w:val="00475167"/>
    <w:rsid w:val="00475251"/>
    <w:rsid w:val="0047646C"/>
    <w:rsid w:val="004800BF"/>
    <w:rsid w:val="00482022"/>
    <w:rsid w:val="00482852"/>
    <w:rsid w:val="004836E8"/>
    <w:rsid w:val="0048436C"/>
    <w:rsid w:val="004864E6"/>
    <w:rsid w:val="004865B4"/>
    <w:rsid w:val="00486DBD"/>
    <w:rsid w:val="00491345"/>
    <w:rsid w:val="004932BC"/>
    <w:rsid w:val="00493384"/>
    <w:rsid w:val="00493A16"/>
    <w:rsid w:val="00494B2B"/>
    <w:rsid w:val="00494F6F"/>
    <w:rsid w:val="00495279"/>
    <w:rsid w:val="0049679D"/>
    <w:rsid w:val="00496BAF"/>
    <w:rsid w:val="00496BCD"/>
    <w:rsid w:val="00496EA1"/>
    <w:rsid w:val="004A0253"/>
    <w:rsid w:val="004A0776"/>
    <w:rsid w:val="004A2392"/>
    <w:rsid w:val="004A38FC"/>
    <w:rsid w:val="004A4D72"/>
    <w:rsid w:val="004A6591"/>
    <w:rsid w:val="004A6D51"/>
    <w:rsid w:val="004B08B8"/>
    <w:rsid w:val="004B13FE"/>
    <w:rsid w:val="004B1A4B"/>
    <w:rsid w:val="004B2A8C"/>
    <w:rsid w:val="004B2AF5"/>
    <w:rsid w:val="004B4177"/>
    <w:rsid w:val="004B430D"/>
    <w:rsid w:val="004B47C2"/>
    <w:rsid w:val="004B5021"/>
    <w:rsid w:val="004B595B"/>
    <w:rsid w:val="004B6148"/>
    <w:rsid w:val="004B6254"/>
    <w:rsid w:val="004B6618"/>
    <w:rsid w:val="004C0072"/>
    <w:rsid w:val="004C00C5"/>
    <w:rsid w:val="004C3702"/>
    <w:rsid w:val="004C3803"/>
    <w:rsid w:val="004C5448"/>
    <w:rsid w:val="004D1243"/>
    <w:rsid w:val="004D12BD"/>
    <w:rsid w:val="004D1F29"/>
    <w:rsid w:val="004D27A3"/>
    <w:rsid w:val="004D2A0A"/>
    <w:rsid w:val="004D2E4D"/>
    <w:rsid w:val="004D3456"/>
    <w:rsid w:val="004D466F"/>
    <w:rsid w:val="004D4825"/>
    <w:rsid w:val="004D590C"/>
    <w:rsid w:val="004D5A0B"/>
    <w:rsid w:val="004D63E4"/>
    <w:rsid w:val="004D67B3"/>
    <w:rsid w:val="004E008F"/>
    <w:rsid w:val="004E00F9"/>
    <w:rsid w:val="004E0CBA"/>
    <w:rsid w:val="004E188C"/>
    <w:rsid w:val="004E2F76"/>
    <w:rsid w:val="004E47E1"/>
    <w:rsid w:val="004E56C1"/>
    <w:rsid w:val="004E601A"/>
    <w:rsid w:val="004E6161"/>
    <w:rsid w:val="004E6CDA"/>
    <w:rsid w:val="004E6D32"/>
    <w:rsid w:val="004E7721"/>
    <w:rsid w:val="004F0004"/>
    <w:rsid w:val="004F051B"/>
    <w:rsid w:val="004F1102"/>
    <w:rsid w:val="004F2A6A"/>
    <w:rsid w:val="004F2A90"/>
    <w:rsid w:val="004F3F51"/>
    <w:rsid w:val="004F492C"/>
    <w:rsid w:val="004F4C22"/>
    <w:rsid w:val="004F519A"/>
    <w:rsid w:val="004F5303"/>
    <w:rsid w:val="004F567C"/>
    <w:rsid w:val="004F5DF5"/>
    <w:rsid w:val="004F5FFD"/>
    <w:rsid w:val="004F70E4"/>
    <w:rsid w:val="004F72AB"/>
    <w:rsid w:val="004F7716"/>
    <w:rsid w:val="004F7C26"/>
    <w:rsid w:val="005000E1"/>
    <w:rsid w:val="00500244"/>
    <w:rsid w:val="0050159D"/>
    <w:rsid w:val="005018EB"/>
    <w:rsid w:val="005028BB"/>
    <w:rsid w:val="00502D38"/>
    <w:rsid w:val="00502EF4"/>
    <w:rsid w:val="00503133"/>
    <w:rsid w:val="00503377"/>
    <w:rsid w:val="00503E84"/>
    <w:rsid w:val="005043CC"/>
    <w:rsid w:val="00504B0B"/>
    <w:rsid w:val="005051C6"/>
    <w:rsid w:val="0050763B"/>
    <w:rsid w:val="00507ADE"/>
    <w:rsid w:val="00507F56"/>
    <w:rsid w:val="00511D1D"/>
    <w:rsid w:val="00512571"/>
    <w:rsid w:val="00513B5A"/>
    <w:rsid w:val="005153E3"/>
    <w:rsid w:val="00517322"/>
    <w:rsid w:val="00520E14"/>
    <w:rsid w:val="005216F1"/>
    <w:rsid w:val="00522276"/>
    <w:rsid w:val="00522327"/>
    <w:rsid w:val="00522C9B"/>
    <w:rsid w:val="00523022"/>
    <w:rsid w:val="00523FA5"/>
    <w:rsid w:val="00523FA6"/>
    <w:rsid w:val="00524271"/>
    <w:rsid w:val="005254D5"/>
    <w:rsid w:val="005265CA"/>
    <w:rsid w:val="00526DF9"/>
    <w:rsid w:val="005278C9"/>
    <w:rsid w:val="0052796F"/>
    <w:rsid w:val="00530E51"/>
    <w:rsid w:val="00531EEC"/>
    <w:rsid w:val="0053250C"/>
    <w:rsid w:val="00534FE4"/>
    <w:rsid w:val="00536385"/>
    <w:rsid w:val="00536644"/>
    <w:rsid w:val="005367EA"/>
    <w:rsid w:val="00537604"/>
    <w:rsid w:val="0054064C"/>
    <w:rsid w:val="005407C4"/>
    <w:rsid w:val="00542D75"/>
    <w:rsid w:val="0054403D"/>
    <w:rsid w:val="0054545E"/>
    <w:rsid w:val="00546AEC"/>
    <w:rsid w:val="00546FD8"/>
    <w:rsid w:val="0055074F"/>
    <w:rsid w:val="00550ABB"/>
    <w:rsid w:val="00550EBC"/>
    <w:rsid w:val="005510AC"/>
    <w:rsid w:val="0055167A"/>
    <w:rsid w:val="00552C0C"/>
    <w:rsid w:val="0055380F"/>
    <w:rsid w:val="00553B5C"/>
    <w:rsid w:val="00554928"/>
    <w:rsid w:val="00555FCD"/>
    <w:rsid w:val="005573D1"/>
    <w:rsid w:val="005601AC"/>
    <w:rsid w:val="005608A6"/>
    <w:rsid w:val="00560A96"/>
    <w:rsid w:val="0056105C"/>
    <w:rsid w:val="005625C7"/>
    <w:rsid w:val="005631CA"/>
    <w:rsid w:val="0056366F"/>
    <w:rsid w:val="00563ACB"/>
    <w:rsid w:val="005647D5"/>
    <w:rsid w:val="00565544"/>
    <w:rsid w:val="00566542"/>
    <w:rsid w:val="00572644"/>
    <w:rsid w:val="005728AC"/>
    <w:rsid w:val="00574A2B"/>
    <w:rsid w:val="00574F70"/>
    <w:rsid w:val="00575331"/>
    <w:rsid w:val="005764FC"/>
    <w:rsid w:val="0057665D"/>
    <w:rsid w:val="00576D23"/>
    <w:rsid w:val="00576DC0"/>
    <w:rsid w:val="00577260"/>
    <w:rsid w:val="00580A94"/>
    <w:rsid w:val="00580B02"/>
    <w:rsid w:val="005815E0"/>
    <w:rsid w:val="00582830"/>
    <w:rsid w:val="00582B9B"/>
    <w:rsid w:val="00582D3B"/>
    <w:rsid w:val="005831DA"/>
    <w:rsid w:val="00583E44"/>
    <w:rsid w:val="005858BA"/>
    <w:rsid w:val="00585F89"/>
    <w:rsid w:val="00587323"/>
    <w:rsid w:val="00587F68"/>
    <w:rsid w:val="00590086"/>
    <w:rsid w:val="00590745"/>
    <w:rsid w:val="00590BF1"/>
    <w:rsid w:val="00591601"/>
    <w:rsid w:val="00591FAA"/>
    <w:rsid w:val="00593F3D"/>
    <w:rsid w:val="005942E2"/>
    <w:rsid w:val="005942F3"/>
    <w:rsid w:val="0059442C"/>
    <w:rsid w:val="00594508"/>
    <w:rsid w:val="0059530C"/>
    <w:rsid w:val="0059585F"/>
    <w:rsid w:val="00595CD4"/>
    <w:rsid w:val="00596CDF"/>
    <w:rsid w:val="005A0272"/>
    <w:rsid w:val="005A06C8"/>
    <w:rsid w:val="005A0948"/>
    <w:rsid w:val="005A0BBD"/>
    <w:rsid w:val="005A173A"/>
    <w:rsid w:val="005A1BE9"/>
    <w:rsid w:val="005A210A"/>
    <w:rsid w:val="005A2A2A"/>
    <w:rsid w:val="005A30E2"/>
    <w:rsid w:val="005A3DDB"/>
    <w:rsid w:val="005A58AD"/>
    <w:rsid w:val="005A5AC1"/>
    <w:rsid w:val="005A620D"/>
    <w:rsid w:val="005A6B95"/>
    <w:rsid w:val="005A7D78"/>
    <w:rsid w:val="005B09F5"/>
    <w:rsid w:val="005B137E"/>
    <w:rsid w:val="005B3306"/>
    <w:rsid w:val="005B371D"/>
    <w:rsid w:val="005B6407"/>
    <w:rsid w:val="005B69C7"/>
    <w:rsid w:val="005B6CEC"/>
    <w:rsid w:val="005B6F90"/>
    <w:rsid w:val="005B7614"/>
    <w:rsid w:val="005B79F3"/>
    <w:rsid w:val="005C0288"/>
    <w:rsid w:val="005C1882"/>
    <w:rsid w:val="005C30E9"/>
    <w:rsid w:val="005C3B1C"/>
    <w:rsid w:val="005C4034"/>
    <w:rsid w:val="005C48C3"/>
    <w:rsid w:val="005C4EF1"/>
    <w:rsid w:val="005C51AB"/>
    <w:rsid w:val="005C7255"/>
    <w:rsid w:val="005C7B1F"/>
    <w:rsid w:val="005D49B9"/>
    <w:rsid w:val="005D4C61"/>
    <w:rsid w:val="005D4EC1"/>
    <w:rsid w:val="005D51A8"/>
    <w:rsid w:val="005D630D"/>
    <w:rsid w:val="005E1CF2"/>
    <w:rsid w:val="005E3F65"/>
    <w:rsid w:val="005E6AF3"/>
    <w:rsid w:val="005F0D89"/>
    <w:rsid w:val="005F2784"/>
    <w:rsid w:val="005F2DE4"/>
    <w:rsid w:val="005F3182"/>
    <w:rsid w:val="005F4A81"/>
    <w:rsid w:val="005F4F34"/>
    <w:rsid w:val="005F504A"/>
    <w:rsid w:val="005F6823"/>
    <w:rsid w:val="005F78C2"/>
    <w:rsid w:val="00601AEC"/>
    <w:rsid w:val="0060249F"/>
    <w:rsid w:val="0060277F"/>
    <w:rsid w:val="00603AB3"/>
    <w:rsid w:val="0060439C"/>
    <w:rsid w:val="00604BBA"/>
    <w:rsid w:val="00604C1A"/>
    <w:rsid w:val="00605869"/>
    <w:rsid w:val="006066E4"/>
    <w:rsid w:val="00607DB6"/>
    <w:rsid w:val="00607E35"/>
    <w:rsid w:val="0061023C"/>
    <w:rsid w:val="00610C01"/>
    <w:rsid w:val="006118D8"/>
    <w:rsid w:val="00611D36"/>
    <w:rsid w:val="00611E3B"/>
    <w:rsid w:val="0061372A"/>
    <w:rsid w:val="00614C27"/>
    <w:rsid w:val="0061664D"/>
    <w:rsid w:val="00616E2F"/>
    <w:rsid w:val="00620B54"/>
    <w:rsid w:val="00620CB5"/>
    <w:rsid w:val="00621FD9"/>
    <w:rsid w:val="00623712"/>
    <w:rsid w:val="0062398F"/>
    <w:rsid w:val="00624EB3"/>
    <w:rsid w:val="00625C14"/>
    <w:rsid w:val="0062626C"/>
    <w:rsid w:val="006302D8"/>
    <w:rsid w:val="006306A1"/>
    <w:rsid w:val="006309C6"/>
    <w:rsid w:val="00630D31"/>
    <w:rsid w:val="00630EE2"/>
    <w:rsid w:val="006328E7"/>
    <w:rsid w:val="00634A45"/>
    <w:rsid w:val="00636673"/>
    <w:rsid w:val="006368C0"/>
    <w:rsid w:val="00637C61"/>
    <w:rsid w:val="00642371"/>
    <w:rsid w:val="00642437"/>
    <w:rsid w:val="00643140"/>
    <w:rsid w:val="00643242"/>
    <w:rsid w:val="006432B1"/>
    <w:rsid w:val="0064335E"/>
    <w:rsid w:val="00644029"/>
    <w:rsid w:val="00644259"/>
    <w:rsid w:val="00645D8B"/>
    <w:rsid w:val="00646EB1"/>
    <w:rsid w:val="00647D62"/>
    <w:rsid w:val="00650D2F"/>
    <w:rsid w:val="00652850"/>
    <w:rsid w:val="00652CF9"/>
    <w:rsid w:val="00653FAD"/>
    <w:rsid w:val="00654C67"/>
    <w:rsid w:val="0065730B"/>
    <w:rsid w:val="00661B5C"/>
    <w:rsid w:val="006621A6"/>
    <w:rsid w:val="00662241"/>
    <w:rsid w:val="0066257C"/>
    <w:rsid w:val="00662CC7"/>
    <w:rsid w:val="0066310F"/>
    <w:rsid w:val="00664234"/>
    <w:rsid w:val="006650C7"/>
    <w:rsid w:val="00665D73"/>
    <w:rsid w:val="0066693A"/>
    <w:rsid w:val="0066696C"/>
    <w:rsid w:val="00667FB6"/>
    <w:rsid w:val="00670472"/>
    <w:rsid w:val="00670CE8"/>
    <w:rsid w:val="0067226C"/>
    <w:rsid w:val="00672742"/>
    <w:rsid w:val="0067323C"/>
    <w:rsid w:val="006736BF"/>
    <w:rsid w:val="00673830"/>
    <w:rsid w:val="00673946"/>
    <w:rsid w:val="00674D0F"/>
    <w:rsid w:val="00675071"/>
    <w:rsid w:val="00675562"/>
    <w:rsid w:val="00675B3C"/>
    <w:rsid w:val="0067728B"/>
    <w:rsid w:val="00677CCF"/>
    <w:rsid w:val="00677E4C"/>
    <w:rsid w:val="00681FB2"/>
    <w:rsid w:val="006823DD"/>
    <w:rsid w:val="006831B1"/>
    <w:rsid w:val="006832B4"/>
    <w:rsid w:val="00683C2D"/>
    <w:rsid w:val="006846CC"/>
    <w:rsid w:val="006868D1"/>
    <w:rsid w:val="00686D5C"/>
    <w:rsid w:val="006876E4"/>
    <w:rsid w:val="00687A30"/>
    <w:rsid w:val="00687EC1"/>
    <w:rsid w:val="00690003"/>
    <w:rsid w:val="00690B28"/>
    <w:rsid w:val="00690C87"/>
    <w:rsid w:val="00695001"/>
    <w:rsid w:val="006951D7"/>
    <w:rsid w:val="006977F0"/>
    <w:rsid w:val="006A0A8D"/>
    <w:rsid w:val="006A1EE8"/>
    <w:rsid w:val="006A2500"/>
    <w:rsid w:val="006A27CD"/>
    <w:rsid w:val="006A2A3B"/>
    <w:rsid w:val="006A2FC3"/>
    <w:rsid w:val="006A421D"/>
    <w:rsid w:val="006A4F09"/>
    <w:rsid w:val="006A4F3F"/>
    <w:rsid w:val="006A587F"/>
    <w:rsid w:val="006A58AC"/>
    <w:rsid w:val="006A639E"/>
    <w:rsid w:val="006B1D4D"/>
    <w:rsid w:val="006B2F08"/>
    <w:rsid w:val="006B3C1A"/>
    <w:rsid w:val="006B3E9B"/>
    <w:rsid w:val="006B6EB8"/>
    <w:rsid w:val="006B70F1"/>
    <w:rsid w:val="006B784D"/>
    <w:rsid w:val="006B7C06"/>
    <w:rsid w:val="006B7D08"/>
    <w:rsid w:val="006B7DD2"/>
    <w:rsid w:val="006C3741"/>
    <w:rsid w:val="006C3993"/>
    <w:rsid w:val="006C4578"/>
    <w:rsid w:val="006C5E59"/>
    <w:rsid w:val="006C702B"/>
    <w:rsid w:val="006C7176"/>
    <w:rsid w:val="006C72B3"/>
    <w:rsid w:val="006D0A70"/>
    <w:rsid w:val="006D0E6F"/>
    <w:rsid w:val="006D221E"/>
    <w:rsid w:val="006D3E20"/>
    <w:rsid w:val="006D4469"/>
    <w:rsid w:val="006D4A16"/>
    <w:rsid w:val="006D5DF2"/>
    <w:rsid w:val="006D68C6"/>
    <w:rsid w:val="006D6AB8"/>
    <w:rsid w:val="006D722B"/>
    <w:rsid w:val="006D76A4"/>
    <w:rsid w:val="006E02BF"/>
    <w:rsid w:val="006E1001"/>
    <w:rsid w:val="006E1B74"/>
    <w:rsid w:val="006E1BD8"/>
    <w:rsid w:val="006E2441"/>
    <w:rsid w:val="006E2E04"/>
    <w:rsid w:val="006E47AA"/>
    <w:rsid w:val="006E626B"/>
    <w:rsid w:val="006E6925"/>
    <w:rsid w:val="006F1A66"/>
    <w:rsid w:val="006F260E"/>
    <w:rsid w:val="006F2EB4"/>
    <w:rsid w:val="006F3BED"/>
    <w:rsid w:val="006F522B"/>
    <w:rsid w:val="006F5BAE"/>
    <w:rsid w:val="006F5E95"/>
    <w:rsid w:val="006F612F"/>
    <w:rsid w:val="006F6D18"/>
    <w:rsid w:val="006F6E2F"/>
    <w:rsid w:val="006F7E83"/>
    <w:rsid w:val="0070025E"/>
    <w:rsid w:val="00700492"/>
    <w:rsid w:val="00700DD7"/>
    <w:rsid w:val="007016CF"/>
    <w:rsid w:val="00702EFC"/>
    <w:rsid w:val="00703EB6"/>
    <w:rsid w:val="0070405A"/>
    <w:rsid w:val="007042B4"/>
    <w:rsid w:val="007055EC"/>
    <w:rsid w:val="0070699D"/>
    <w:rsid w:val="00706B21"/>
    <w:rsid w:val="00706B50"/>
    <w:rsid w:val="00711490"/>
    <w:rsid w:val="00711A83"/>
    <w:rsid w:val="0071247C"/>
    <w:rsid w:val="00712CE5"/>
    <w:rsid w:val="00715260"/>
    <w:rsid w:val="0071587C"/>
    <w:rsid w:val="0071662C"/>
    <w:rsid w:val="00716A88"/>
    <w:rsid w:val="00720BE8"/>
    <w:rsid w:val="00721CCB"/>
    <w:rsid w:val="00721EE2"/>
    <w:rsid w:val="007235F3"/>
    <w:rsid w:val="00723D53"/>
    <w:rsid w:val="007240D4"/>
    <w:rsid w:val="0072439A"/>
    <w:rsid w:val="0072679E"/>
    <w:rsid w:val="00726A7E"/>
    <w:rsid w:val="00727648"/>
    <w:rsid w:val="007307B2"/>
    <w:rsid w:val="00730897"/>
    <w:rsid w:val="00730A56"/>
    <w:rsid w:val="00730D29"/>
    <w:rsid w:val="00731DD7"/>
    <w:rsid w:val="007334F2"/>
    <w:rsid w:val="00734141"/>
    <w:rsid w:val="007351D9"/>
    <w:rsid w:val="00735219"/>
    <w:rsid w:val="0073554E"/>
    <w:rsid w:val="00736F71"/>
    <w:rsid w:val="00740586"/>
    <w:rsid w:val="0074257F"/>
    <w:rsid w:val="00742BC1"/>
    <w:rsid w:val="00742C26"/>
    <w:rsid w:val="00743354"/>
    <w:rsid w:val="00743F5B"/>
    <w:rsid w:val="00744E91"/>
    <w:rsid w:val="00744FAA"/>
    <w:rsid w:val="00746040"/>
    <w:rsid w:val="00751986"/>
    <w:rsid w:val="00752101"/>
    <w:rsid w:val="007525F3"/>
    <w:rsid w:val="007536E8"/>
    <w:rsid w:val="00754165"/>
    <w:rsid w:val="00754952"/>
    <w:rsid w:val="00755EF2"/>
    <w:rsid w:val="0075643A"/>
    <w:rsid w:val="0075703F"/>
    <w:rsid w:val="00757218"/>
    <w:rsid w:val="00757D0B"/>
    <w:rsid w:val="00757D38"/>
    <w:rsid w:val="007607D6"/>
    <w:rsid w:val="00760AE7"/>
    <w:rsid w:val="00763C2C"/>
    <w:rsid w:val="007642A2"/>
    <w:rsid w:val="007648E2"/>
    <w:rsid w:val="00766B42"/>
    <w:rsid w:val="0076733A"/>
    <w:rsid w:val="007673EC"/>
    <w:rsid w:val="00767BE3"/>
    <w:rsid w:val="0077043B"/>
    <w:rsid w:val="007723F9"/>
    <w:rsid w:val="00772A6B"/>
    <w:rsid w:val="00773036"/>
    <w:rsid w:val="0077388E"/>
    <w:rsid w:val="007743C1"/>
    <w:rsid w:val="00774D16"/>
    <w:rsid w:val="0077545E"/>
    <w:rsid w:val="007773B5"/>
    <w:rsid w:val="007803D9"/>
    <w:rsid w:val="007806D8"/>
    <w:rsid w:val="00780B31"/>
    <w:rsid w:val="0078105E"/>
    <w:rsid w:val="0078147B"/>
    <w:rsid w:val="00781BB3"/>
    <w:rsid w:val="007824DA"/>
    <w:rsid w:val="00782B46"/>
    <w:rsid w:val="00783F82"/>
    <w:rsid w:val="00786D38"/>
    <w:rsid w:val="00787195"/>
    <w:rsid w:val="00787347"/>
    <w:rsid w:val="007915E5"/>
    <w:rsid w:val="007918A5"/>
    <w:rsid w:val="00791C6B"/>
    <w:rsid w:val="00792937"/>
    <w:rsid w:val="00793DFB"/>
    <w:rsid w:val="00794182"/>
    <w:rsid w:val="0079517C"/>
    <w:rsid w:val="007962D2"/>
    <w:rsid w:val="00796FCA"/>
    <w:rsid w:val="00797CB0"/>
    <w:rsid w:val="007A0A9B"/>
    <w:rsid w:val="007A0AD6"/>
    <w:rsid w:val="007A27CC"/>
    <w:rsid w:val="007A33F5"/>
    <w:rsid w:val="007A3F27"/>
    <w:rsid w:val="007A406D"/>
    <w:rsid w:val="007A52F0"/>
    <w:rsid w:val="007A686D"/>
    <w:rsid w:val="007A79F7"/>
    <w:rsid w:val="007A7C9B"/>
    <w:rsid w:val="007B189E"/>
    <w:rsid w:val="007B218E"/>
    <w:rsid w:val="007B2A42"/>
    <w:rsid w:val="007B3A4B"/>
    <w:rsid w:val="007B5A4E"/>
    <w:rsid w:val="007B675A"/>
    <w:rsid w:val="007B70B3"/>
    <w:rsid w:val="007B7351"/>
    <w:rsid w:val="007C1733"/>
    <w:rsid w:val="007C22B5"/>
    <w:rsid w:val="007C3043"/>
    <w:rsid w:val="007C6553"/>
    <w:rsid w:val="007C687C"/>
    <w:rsid w:val="007D0851"/>
    <w:rsid w:val="007D099F"/>
    <w:rsid w:val="007D1201"/>
    <w:rsid w:val="007D21D6"/>
    <w:rsid w:val="007D260B"/>
    <w:rsid w:val="007D3AFE"/>
    <w:rsid w:val="007D410D"/>
    <w:rsid w:val="007D5B36"/>
    <w:rsid w:val="007D60DC"/>
    <w:rsid w:val="007D63CB"/>
    <w:rsid w:val="007E05ED"/>
    <w:rsid w:val="007E0E13"/>
    <w:rsid w:val="007E1026"/>
    <w:rsid w:val="007E1CAE"/>
    <w:rsid w:val="007E25EC"/>
    <w:rsid w:val="007E288C"/>
    <w:rsid w:val="007E5EF1"/>
    <w:rsid w:val="007E655F"/>
    <w:rsid w:val="007E7A4F"/>
    <w:rsid w:val="007F1BE3"/>
    <w:rsid w:val="007F1FB3"/>
    <w:rsid w:val="007F2014"/>
    <w:rsid w:val="007F228B"/>
    <w:rsid w:val="007F419D"/>
    <w:rsid w:val="007F6179"/>
    <w:rsid w:val="007F6D00"/>
    <w:rsid w:val="00800E55"/>
    <w:rsid w:val="008011B6"/>
    <w:rsid w:val="008016DD"/>
    <w:rsid w:val="00801821"/>
    <w:rsid w:val="008028BE"/>
    <w:rsid w:val="0080345D"/>
    <w:rsid w:val="00805F89"/>
    <w:rsid w:val="00807AE0"/>
    <w:rsid w:val="00807EAD"/>
    <w:rsid w:val="00810298"/>
    <w:rsid w:val="00810B6F"/>
    <w:rsid w:val="00810BEE"/>
    <w:rsid w:val="00810C0B"/>
    <w:rsid w:val="00811A32"/>
    <w:rsid w:val="00813980"/>
    <w:rsid w:val="00813D85"/>
    <w:rsid w:val="0081620B"/>
    <w:rsid w:val="008163D1"/>
    <w:rsid w:val="008166AC"/>
    <w:rsid w:val="00816BC2"/>
    <w:rsid w:val="00816E0D"/>
    <w:rsid w:val="008179B7"/>
    <w:rsid w:val="008201B9"/>
    <w:rsid w:val="00820AED"/>
    <w:rsid w:val="008216CA"/>
    <w:rsid w:val="00821788"/>
    <w:rsid w:val="00821CF9"/>
    <w:rsid w:val="00821E21"/>
    <w:rsid w:val="00821F1F"/>
    <w:rsid w:val="0082307B"/>
    <w:rsid w:val="008239CB"/>
    <w:rsid w:val="00824D8C"/>
    <w:rsid w:val="008306C1"/>
    <w:rsid w:val="00831C15"/>
    <w:rsid w:val="00832F1A"/>
    <w:rsid w:val="00833F08"/>
    <w:rsid w:val="00835336"/>
    <w:rsid w:val="008363B5"/>
    <w:rsid w:val="00836733"/>
    <w:rsid w:val="00837BD2"/>
    <w:rsid w:val="0084021B"/>
    <w:rsid w:val="00840F8C"/>
    <w:rsid w:val="0084108E"/>
    <w:rsid w:val="008412B4"/>
    <w:rsid w:val="0084162B"/>
    <w:rsid w:val="00841AED"/>
    <w:rsid w:val="008423D4"/>
    <w:rsid w:val="00842522"/>
    <w:rsid w:val="008435E6"/>
    <w:rsid w:val="00843B21"/>
    <w:rsid w:val="00843EE5"/>
    <w:rsid w:val="00844418"/>
    <w:rsid w:val="008452F2"/>
    <w:rsid w:val="008473E2"/>
    <w:rsid w:val="00847683"/>
    <w:rsid w:val="0085035B"/>
    <w:rsid w:val="0085076F"/>
    <w:rsid w:val="00850829"/>
    <w:rsid w:val="008516B6"/>
    <w:rsid w:val="00851734"/>
    <w:rsid w:val="00855718"/>
    <w:rsid w:val="00856325"/>
    <w:rsid w:val="00857879"/>
    <w:rsid w:val="008609E0"/>
    <w:rsid w:val="008610A4"/>
    <w:rsid w:val="00862A7B"/>
    <w:rsid w:val="00864D30"/>
    <w:rsid w:val="00865465"/>
    <w:rsid w:val="008668DB"/>
    <w:rsid w:val="00867791"/>
    <w:rsid w:val="00870650"/>
    <w:rsid w:val="008708F1"/>
    <w:rsid w:val="00870F79"/>
    <w:rsid w:val="008713EC"/>
    <w:rsid w:val="008717EB"/>
    <w:rsid w:val="008729B7"/>
    <w:rsid w:val="00872AE5"/>
    <w:rsid w:val="00872E13"/>
    <w:rsid w:val="00873842"/>
    <w:rsid w:val="00873C7E"/>
    <w:rsid w:val="00874501"/>
    <w:rsid w:val="00874E88"/>
    <w:rsid w:val="00875021"/>
    <w:rsid w:val="00876AD5"/>
    <w:rsid w:val="00877DB6"/>
    <w:rsid w:val="008801D4"/>
    <w:rsid w:val="008808C8"/>
    <w:rsid w:val="008809C4"/>
    <w:rsid w:val="00880F67"/>
    <w:rsid w:val="00882C59"/>
    <w:rsid w:val="00887632"/>
    <w:rsid w:val="0088770B"/>
    <w:rsid w:val="00887C91"/>
    <w:rsid w:val="00890797"/>
    <w:rsid w:val="008912C6"/>
    <w:rsid w:val="00891955"/>
    <w:rsid w:val="00892519"/>
    <w:rsid w:val="008930CD"/>
    <w:rsid w:val="00894465"/>
    <w:rsid w:val="00894E29"/>
    <w:rsid w:val="00894FF3"/>
    <w:rsid w:val="008A09A5"/>
    <w:rsid w:val="008A0D33"/>
    <w:rsid w:val="008A18BE"/>
    <w:rsid w:val="008A1E02"/>
    <w:rsid w:val="008A50E0"/>
    <w:rsid w:val="008A563B"/>
    <w:rsid w:val="008A5879"/>
    <w:rsid w:val="008A67EC"/>
    <w:rsid w:val="008A7556"/>
    <w:rsid w:val="008B14D7"/>
    <w:rsid w:val="008B1983"/>
    <w:rsid w:val="008B2EC6"/>
    <w:rsid w:val="008B3649"/>
    <w:rsid w:val="008B45D2"/>
    <w:rsid w:val="008B64D4"/>
    <w:rsid w:val="008C00A4"/>
    <w:rsid w:val="008C1AE4"/>
    <w:rsid w:val="008C21A8"/>
    <w:rsid w:val="008C397B"/>
    <w:rsid w:val="008C3C37"/>
    <w:rsid w:val="008C3F5E"/>
    <w:rsid w:val="008C50D8"/>
    <w:rsid w:val="008C5269"/>
    <w:rsid w:val="008C53C3"/>
    <w:rsid w:val="008C70CE"/>
    <w:rsid w:val="008C732E"/>
    <w:rsid w:val="008C762B"/>
    <w:rsid w:val="008C7898"/>
    <w:rsid w:val="008D016E"/>
    <w:rsid w:val="008D0935"/>
    <w:rsid w:val="008D1498"/>
    <w:rsid w:val="008D1A33"/>
    <w:rsid w:val="008D1F66"/>
    <w:rsid w:val="008D253F"/>
    <w:rsid w:val="008D288D"/>
    <w:rsid w:val="008D320A"/>
    <w:rsid w:val="008D36FD"/>
    <w:rsid w:val="008D48EF"/>
    <w:rsid w:val="008D5C55"/>
    <w:rsid w:val="008D6D32"/>
    <w:rsid w:val="008D6F24"/>
    <w:rsid w:val="008D7013"/>
    <w:rsid w:val="008D79A6"/>
    <w:rsid w:val="008E0702"/>
    <w:rsid w:val="008E0749"/>
    <w:rsid w:val="008E0F5D"/>
    <w:rsid w:val="008E10BB"/>
    <w:rsid w:val="008E198E"/>
    <w:rsid w:val="008E3399"/>
    <w:rsid w:val="008E3B27"/>
    <w:rsid w:val="008E5058"/>
    <w:rsid w:val="008E64D2"/>
    <w:rsid w:val="008E7542"/>
    <w:rsid w:val="008F0847"/>
    <w:rsid w:val="008F08E9"/>
    <w:rsid w:val="008F0F7C"/>
    <w:rsid w:val="008F1FCE"/>
    <w:rsid w:val="008F2FBE"/>
    <w:rsid w:val="008F3E58"/>
    <w:rsid w:val="008F5CA1"/>
    <w:rsid w:val="00902DBF"/>
    <w:rsid w:val="00907B4F"/>
    <w:rsid w:val="00907DFC"/>
    <w:rsid w:val="00907E9F"/>
    <w:rsid w:val="00910327"/>
    <w:rsid w:val="0091198F"/>
    <w:rsid w:val="00912A63"/>
    <w:rsid w:val="00912ABC"/>
    <w:rsid w:val="009130E8"/>
    <w:rsid w:val="009151D5"/>
    <w:rsid w:val="00915218"/>
    <w:rsid w:val="00917C17"/>
    <w:rsid w:val="00917C40"/>
    <w:rsid w:val="009203D9"/>
    <w:rsid w:val="00920CB9"/>
    <w:rsid w:val="00921481"/>
    <w:rsid w:val="00922022"/>
    <w:rsid w:val="009228A7"/>
    <w:rsid w:val="00922E31"/>
    <w:rsid w:val="00923A30"/>
    <w:rsid w:val="009244CE"/>
    <w:rsid w:val="009253AD"/>
    <w:rsid w:val="0092622E"/>
    <w:rsid w:val="0092683A"/>
    <w:rsid w:val="00927F10"/>
    <w:rsid w:val="0093035B"/>
    <w:rsid w:val="0093040D"/>
    <w:rsid w:val="00930F51"/>
    <w:rsid w:val="00931721"/>
    <w:rsid w:val="00933E60"/>
    <w:rsid w:val="009343BE"/>
    <w:rsid w:val="00934790"/>
    <w:rsid w:val="009359AE"/>
    <w:rsid w:val="009373EF"/>
    <w:rsid w:val="0093792A"/>
    <w:rsid w:val="009403F4"/>
    <w:rsid w:val="009441E3"/>
    <w:rsid w:val="009443C6"/>
    <w:rsid w:val="00944789"/>
    <w:rsid w:val="00944B8B"/>
    <w:rsid w:val="0094650E"/>
    <w:rsid w:val="009468B7"/>
    <w:rsid w:val="00947D51"/>
    <w:rsid w:val="00947F90"/>
    <w:rsid w:val="00947FD9"/>
    <w:rsid w:val="00950B3C"/>
    <w:rsid w:val="00951639"/>
    <w:rsid w:val="00952504"/>
    <w:rsid w:val="0095260F"/>
    <w:rsid w:val="00953596"/>
    <w:rsid w:val="00953835"/>
    <w:rsid w:val="00953DA9"/>
    <w:rsid w:val="00956BE7"/>
    <w:rsid w:val="0096019E"/>
    <w:rsid w:val="009613A6"/>
    <w:rsid w:val="00964B2F"/>
    <w:rsid w:val="0096718C"/>
    <w:rsid w:val="009676C0"/>
    <w:rsid w:val="00972B9F"/>
    <w:rsid w:val="00972EE2"/>
    <w:rsid w:val="00973F85"/>
    <w:rsid w:val="00974BD7"/>
    <w:rsid w:val="00975F1F"/>
    <w:rsid w:val="009762D1"/>
    <w:rsid w:val="00976568"/>
    <w:rsid w:val="00976C63"/>
    <w:rsid w:val="00977FB7"/>
    <w:rsid w:val="00980CEF"/>
    <w:rsid w:val="009813BC"/>
    <w:rsid w:val="009817BA"/>
    <w:rsid w:val="00984A40"/>
    <w:rsid w:val="00984B28"/>
    <w:rsid w:val="0098566A"/>
    <w:rsid w:val="00985823"/>
    <w:rsid w:val="00986748"/>
    <w:rsid w:val="009875A8"/>
    <w:rsid w:val="0098766B"/>
    <w:rsid w:val="0099092D"/>
    <w:rsid w:val="00991149"/>
    <w:rsid w:val="009916F5"/>
    <w:rsid w:val="00994CE7"/>
    <w:rsid w:val="00995594"/>
    <w:rsid w:val="0099580E"/>
    <w:rsid w:val="00997020"/>
    <w:rsid w:val="00997BCA"/>
    <w:rsid w:val="009A0544"/>
    <w:rsid w:val="009A071E"/>
    <w:rsid w:val="009A0FD6"/>
    <w:rsid w:val="009A2E5A"/>
    <w:rsid w:val="009A348A"/>
    <w:rsid w:val="009A3AFF"/>
    <w:rsid w:val="009A40D1"/>
    <w:rsid w:val="009A4151"/>
    <w:rsid w:val="009A53B1"/>
    <w:rsid w:val="009A5C2A"/>
    <w:rsid w:val="009A6954"/>
    <w:rsid w:val="009A6985"/>
    <w:rsid w:val="009B00F9"/>
    <w:rsid w:val="009B19A2"/>
    <w:rsid w:val="009B1B22"/>
    <w:rsid w:val="009B2716"/>
    <w:rsid w:val="009B2AA9"/>
    <w:rsid w:val="009B4F49"/>
    <w:rsid w:val="009B53C2"/>
    <w:rsid w:val="009B62E7"/>
    <w:rsid w:val="009C0A09"/>
    <w:rsid w:val="009C0FC9"/>
    <w:rsid w:val="009C102F"/>
    <w:rsid w:val="009C1DB5"/>
    <w:rsid w:val="009C22A8"/>
    <w:rsid w:val="009C6D26"/>
    <w:rsid w:val="009C6E03"/>
    <w:rsid w:val="009C70A7"/>
    <w:rsid w:val="009D0303"/>
    <w:rsid w:val="009D19F9"/>
    <w:rsid w:val="009D2BBA"/>
    <w:rsid w:val="009D2DE1"/>
    <w:rsid w:val="009D3000"/>
    <w:rsid w:val="009D380C"/>
    <w:rsid w:val="009D4939"/>
    <w:rsid w:val="009D4FE9"/>
    <w:rsid w:val="009D5A53"/>
    <w:rsid w:val="009D5BA9"/>
    <w:rsid w:val="009D632F"/>
    <w:rsid w:val="009D727A"/>
    <w:rsid w:val="009E218E"/>
    <w:rsid w:val="009E3F67"/>
    <w:rsid w:val="009E4127"/>
    <w:rsid w:val="009E4450"/>
    <w:rsid w:val="009E504E"/>
    <w:rsid w:val="009E538E"/>
    <w:rsid w:val="009E5917"/>
    <w:rsid w:val="009E5C36"/>
    <w:rsid w:val="009E7944"/>
    <w:rsid w:val="009F02C8"/>
    <w:rsid w:val="009F0571"/>
    <w:rsid w:val="009F18A5"/>
    <w:rsid w:val="009F19B8"/>
    <w:rsid w:val="009F1B35"/>
    <w:rsid w:val="009F1DA7"/>
    <w:rsid w:val="009F234D"/>
    <w:rsid w:val="009F26C2"/>
    <w:rsid w:val="009F26C7"/>
    <w:rsid w:val="009F3EB5"/>
    <w:rsid w:val="009F4195"/>
    <w:rsid w:val="009F462F"/>
    <w:rsid w:val="009F4A6C"/>
    <w:rsid w:val="009F5D30"/>
    <w:rsid w:val="009F7A87"/>
    <w:rsid w:val="009F7C10"/>
    <w:rsid w:val="00A0033E"/>
    <w:rsid w:val="00A02B28"/>
    <w:rsid w:val="00A02DA8"/>
    <w:rsid w:val="00A03065"/>
    <w:rsid w:val="00A03B8E"/>
    <w:rsid w:val="00A046ED"/>
    <w:rsid w:val="00A054FD"/>
    <w:rsid w:val="00A05A39"/>
    <w:rsid w:val="00A05CE3"/>
    <w:rsid w:val="00A06D2D"/>
    <w:rsid w:val="00A0776B"/>
    <w:rsid w:val="00A07AEC"/>
    <w:rsid w:val="00A07EB2"/>
    <w:rsid w:val="00A11971"/>
    <w:rsid w:val="00A154F0"/>
    <w:rsid w:val="00A17AB0"/>
    <w:rsid w:val="00A20616"/>
    <w:rsid w:val="00A20B2E"/>
    <w:rsid w:val="00A21D5C"/>
    <w:rsid w:val="00A221D9"/>
    <w:rsid w:val="00A222C1"/>
    <w:rsid w:val="00A225EC"/>
    <w:rsid w:val="00A22BBB"/>
    <w:rsid w:val="00A23849"/>
    <w:rsid w:val="00A25089"/>
    <w:rsid w:val="00A250CD"/>
    <w:rsid w:val="00A26A6B"/>
    <w:rsid w:val="00A26BF7"/>
    <w:rsid w:val="00A272C3"/>
    <w:rsid w:val="00A30316"/>
    <w:rsid w:val="00A31004"/>
    <w:rsid w:val="00A31624"/>
    <w:rsid w:val="00A31ACF"/>
    <w:rsid w:val="00A324AC"/>
    <w:rsid w:val="00A34FB8"/>
    <w:rsid w:val="00A35788"/>
    <w:rsid w:val="00A35C7A"/>
    <w:rsid w:val="00A374A3"/>
    <w:rsid w:val="00A379FB"/>
    <w:rsid w:val="00A4094F"/>
    <w:rsid w:val="00A409AA"/>
    <w:rsid w:val="00A40F2B"/>
    <w:rsid w:val="00A41AD3"/>
    <w:rsid w:val="00A41B08"/>
    <w:rsid w:val="00A42EA5"/>
    <w:rsid w:val="00A437A2"/>
    <w:rsid w:val="00A44089"/>
    <w:rsid w:val="00A440CE"/>
    <w:rsid w:val="00A4489A"/>
    <w:rsid w:val="00A45A04"/>
    <w:rsid w:val="00A47321"/>
    <w:rsid w:val="00A500D3"/>
    <w:rsid w:val="00A51594"/>
    <w:rsid w:val="00A51D6B"/>
    <w:rsid w:val="00A52116"/>
    <w:rsid w:val="00A52120"/>
    <w:rsid w:val="00A54E01"/>
    <w:rsid w:val="00A55FD9"/>
    <w:rsid w:val="00A567B4"/>
    <w:rsid w:val="00A6057A"/>
    <w:rsid w:val="00A6087F"/>
    <w:rsid w:val="00A61016"/>
    <w:rsid w:val="00A63D70"/>
    <w:rsid w:val="00A65C81"/>
    <w:rsid w:val="00A65F33"/>
    <w:rsid w:val="00A66F4D"/>
    <w:rsid w:val="00A70450"/>
    <w:rsid w:val="00A71D81"/>
    <w:rsid w:val="00A72276"/>
    <w:rsid w:val="00A7398A"/>
    <w:rsid w:val="00A74511"/>
    <w:rsid w:val="00A74A68"/>
    <w:rsid w:val="00A7521E"/>
    <w:rsid w:val="00A75424"/>
    <w:rsid w:val="00A76F31"/>
    <w:rsid w:val="00A77498"/>
    <w:rsid w:val="00A77B2E"/>
    <w:rsid w:val="00A81B43"/>
    <w:rsid w:val="00A82017"/>
    <w:rsid w:val="00A82924"/>
    <w:rsid w:val="00A82EA4"/>
    <w:rsid w:val="00A848B2"/>
    <w:rsid w:val="00A86D34"/>
    <w:rsid w:val="00A874B2"/>
    <w:rsid w:val="00A904D7"/>
    <w:rsid w:val="00A91533"/>
    <w:rsid w:val="00A91EA8"/>
    <w:rsid w:val="00A9327F"/>
    <w:rsid w:val="00A94CFA"/>
    <w:rsid w:val="00A9541E"/>
    <w:rsid w:val="00A96E34"/>
    <w:rsid w:val="00A9714D"/>
    <w:rsid w:val="00A97A3A"/>
    <w:rsid w:val="00A97AEB"/>
    <w:rsid w:val="00AA08BD"/>
    <w:rsid w:val="00AA298A"/>
    <w:rsid w:val="00AA34CA"/>
    <w:rsid w:val="00AA658E"/>
    <w:rsid w:val="00AA6C09"/>
    <w:rsid w:val="00AB08C7"/>
    <w:rsid w:val="00AB3C3E"/>
    <w:rsid w:val="00AB45CE"/>
    <w:rsid w:val="00AB50CB"/>
    <w:rsid w:val="00AB578E"/>
    <w:rsid w:val="00AB6530"/>
    <w:rsid w:val="00AC07AB"/>
    <w:rsid w:val="00AC1ECC"/>
    <w:rsid w:val="00AC3522"/>
    <w:rsid w:val="00AC428D"/>
    <w:rsid w:val="00AC7A2F"/>
    <w:rsid w:val="00AD02B2"/>
    <w:rsid w:val="00AD4154"/>
    <w:rsid w:val="00AD4AD2"/>
    <w:rsid w:val="00AD524B"/>
    <w:rsid w:val="00AD5C7B"/>
    <w:rsid w:val="00AD6632"/>
    <w:rsid w:val="00AD7824"/>
    <w:rsid w:val="00AD7C48"/>
    <w:rsid w:val="00AE0835"/>
    <w:rsid w:val="00AE145F"/>
    <w:rsid w:val="00AE185B"/>
    <w:rsid w:val="00AE1906"/>
    <w:rsid w:val="00AE19EA"/>
    <w:rsid w:val="00AE1A70"/>
    <w:rsid w:val="00AE1ACD"/>
    <w:rsid w:val="00AE2144"/>
    <w:rsid w:val="00AE34D0"/>
    <w:rsid w:val="00AE4A85"/>
    <w:rsid w:val="00AE523B"/>
    <w:rsid w:val="00AE56B1"/>
    <w:rsid w:val="00AE576A"/>
    <w:rsid w:val="00AE5FF4"/>
    <w:rsid w:val="00AE6156"/>
    <w:rsid w:val="00AE655A"/>
    <w:rsid w:val="00AF0A6A"/>
    <w:rsid w:val="00AF10FC"/>
    <w:rsid w:val="00AF1C1B"/>
    <w:rsid w:val="00AF3B90"/>
    <w:rsid w:val="00AF62EE"/>
    <w:rsid w:val="00AF6D6D"/>
    <w:rsid w:val="00AF7068"/>
    <w:rsid w:val="00B01145"/>
    <w:rsid w:val="00B012C2"/>
    <w:rsid w:val="00B01304"/>
    <w:rsid w:val="00B01504"/>
    <w:rsid w:val="00B01EFD"/>
    <w:rsid w:val="00B0228E"/>
    <w:rsid w:val="00B02609"/>
    <w:rsid w:val="00B0297D"/>
    <w:rsid w:val="00B04091"/>
    <w:rsid w:val="00B04E0C"/>
    <w:rsid w:val="00B053A3"/>
    <w:rsid w:val="00B0587C"/>
    <w:rsid w:val="00B06F09"/>
    <w:rsid w:val="00B0740B"/>
    <w:rsid w:val="00B075C3"/>
    <w:rsid w:val="00B11F2F"/>
    <w:rsid w:val="00B1386B"/>
    <w:rsid w:val="00B13872"/>
    <w:rsid w:val="00B14341"/>
    <w:rsid w:val="00B146A4"/>
    <w:rsid w:val="00B15AE0"/>
    <w:rsid w:val="00B16085"/>
    <w:rsid w:val="00B179DB"/>
    <w:rsid w:val="00B20C5A"/>
    <w:rsid w:val="00B21BD7"/>
    <w:rsid w:val="00B23242"/>
    <w:rsid w:val="00B233A8"/>
    <w:rsid w:val="00B2456F"/>
    <w:rsid w:val="00B24B3D"/>
    <w:rsid w:val="00B24BF9"/>
    <w:rsid w:val="00B255E2"/>
    <w:rsid w:val="00B2587C"/>
    <w:rsid w:val="00B25A4F"/>
    <w:rsid w:val="00B273BD"/>
    <w:rsid w:val="00B279AF"/>
    <w:rsid w:val="00B303D5"/>
    <w:rsid w:val="00B31058"/>
    <w:rsid w:val="00B33EAD"/>
    <w:rsid w:val="00B367B6"/>
    <w:rsid w:val="00B41642"/>
    <w:rsid w:val="00B41A71"/>
    <w:rsid w:val="00B4281D"/>
    <w:rsid w:val="00B432C3"/>
    <w:rsid w:val="00B44C85"/>
    <w:rsid w:val="00B44DA3"/>
    <w:rsid w:val="00B45DA2"/>
    <w:rsid w:val="00B46710"/>
    <w:rsid w:val="00B471F3"/>
    <w:rsid w:val="00B50498"/>
    <w:rsid w:val="00B50879"/>
    <w:rsid w:val="00B518AF"/>
    <w:rsid w:val="00B5215F"/>
    <w:rsid w:val="00B5262C"/>
    <w:rsid w:val="00B52E68"/>
    <w:rsid w:val="00B5380C"/>
    <w:rsid w:val="00B539D2"/>
    <w:rsid w:val="00B53B32"/>
    <w:rsid w:val="00B54749"/>
    <w:rsid w:val="00B5478B"/>
    <w:rsid w:val="00B553C9"/>
    <w:rsid w:val="00B55A7F"/>
    <w:rsid w:val="00B5624F"/>
    <w:rsid w:val="00B565B9"/>
    <w:rsid w:val="00B60AD8"/>
    <w:rsid w:val="00B6330F"/>
    <w:rsid w:val="00B64B07"/>
    <w:rsid w:val="00B662C3"/>
    <w:rsid w:val="00B6721B"/>
    <w:rsid w:val="00B712F9"/>
    <w:rsid w:val="00B71899"/>
    <w:rsid w:val="00B71BFD"/>
    <w:rsid w:val="00B72438"/>
    <w:rsid w:val="00B7290D"/>
    <w:rsid w:val="00B72D17"/>
    <w:rsid w:val="00B741DF"/>
    <w:rsid w:val="00B769B9"/>
    <w:rsid w:val="00B771F6"/>
    <w:rsid w:val="00B773DC"/>
    <w:rsid w:val="00B806D8"/>
    <w:rsid w:val="00B8074E"/>
    <w:rsid w:val="00B80BB9"/>
    <w:rsid w:val="00B8122C"/>
    <w:rsid w:val="00B81774"/>
    <w:rsid w:val="00B823BD"/>
    <w:rsid w:val="00B8246E"/>
    <w:rsid w:val="00B83296"/>
    <w:rsid w:val="00B844E2"/>
    <w:rsid w:val="00B8590C"/>
    <w:rsid w:val="00B860B9"/>
    <w:rsid w:val="00B872AE"/>
    <w:rsid w:val="00B879A7"/>
    <w:rsid w:val="00B92620"/>
    <w:rsid w:val="00B93A29"/>
    <w:rsid w:val="00B954DB"/>
    <w:rsid w:val="00B95ADC"/>
    <w:rsid w:val="00B964E5"/>
    <w:rsid w:val="00B976DC"/>
    <w:rsid w:val="00B97CFB"/>
    <w:rsid w:val="00BA0320"/>
    <w:rsid w:val="00BA1FD0"/>
    <w:rsid w:val="00BA2AB6"/>
    <w:rsid w:val="00BA3AA6"/>
    <w:rsid w:val="00BA3F44"/>
    <w:rsid w:val="00BA54F3"/>
    <w:rsid w:val="00BA614E"/>
    <w:rsid w:val="00BA7252"/>
    <w:rsid w:val="00BB0AB3"/>
    <w:rsid w:val="00BB1F24"/>
    <w:rsid w:val="00BB3AE1"/>
    <w:rsid w:val="00BB3CAD"/>
    <w:rsid w:val="00BB3EDA"/>
    <w:rsid w:val="00BB4101"/>
    <w:rsid w:val="00BB5915"/>
    <w:rsid w:val="00BB5CB4"/>
    <w:rsid w:val="00BB619F"/>
    <w:rsid w:val="00BB62E8"/>
    <w:rsid w:val="00BB7AB2"/>
    <w:rsid w:val="00BB7B3C"/>
    <w:rsid w:val="00BC1222"/>
    <w:rsid w:val="00BC1555"/>
    <w:rsid w:val="00BC2535"/>
    <w:rsid w:val="00BC2D48"/>
    <w:rsid w:val="00BC353F"/>
    <w:rsid w:val="00BC3E23"/>
    <w:rsid w:val="00BC4A62"/>
    <w:rsid w:val="00BC4A68"/>
    <w:rsid w:val="00BC58AF"/>
    <w:rsid w:val="00BC5CF2"/>
    <w:rsid w:val="00BC6E10"/>
    <w:rsid w:val="00BC7CA0"/>
    <w:rsid w:val="00BD0579"/>
    <w:rsid w:val="00BD1917"/>
    <w:rsid w:val="00BD2131"/>
    <w:rsid w:val="00BD2FA1"/>
    <w:rsid w:val="00BD4949"/>
    <w:rsid w:val="00BD4C47"/>
    <w:rsid w:val="00BE0D3B"/>
    <w:rsid w:val="00BE0D4B"/>
    <w:rsid w:val="00BE0F3B"/>
    <w:rsid w:val="00BE1216"/>
    <w:rsid w:val="00BE1E45"/>
    <w:rsid w:val="00BE2D86"/>
    <w:rsid w:val="00BE3B24"/>
    <w:rsid w:val="00BE4094"/>
    <w:rsid w:val="00BE425F"/>
    <w:rsid w:val="00BE457F"/>
    <w:rsid w:val="00BE6629"/>
    <w:rsid w:val="00BE6D5C"/>
    <w:rsid w:val="00BE799B"/>
    <w:rsid w:val="00BE7BED"/>
    <w:rsid w:val="00BE7D9C"/>
    <w:rsid w:val="00BF0569"/>
    <w:rsid w:val="00BF0F2F"/>
    <w:rsid w:val="00BF13DC"/>
    <w:rsid w:val="00BF166C"/>
    <w:rsid w:val="00BF2703"/>
    <w:rsid w:val="00BF273B"/>
    <w:rsid w:val="00BF33D3"/>
    <w:rsid w:val="00BF3AFD"/>
    <w:rsid w:val="00BF489E"/>
    <w:rsid w:val="00BF579E"/>
    <w:rsid w:val="00C00177"/>
    <w:rsid w:val="00C0482C"/>
    <w:rsid w:val="00C04949"/>
    <w:rsid w:val="00C049B9"/>
    <w:rsid w:val="00C04A76"/>
    <w:rsid w:val="00C052F4"/>
    <w:rsid w:val="00C06839"/>
    <w:rsid w:val="00C103A6"/>
    <w:rsid w:val="00C115D3"/>
    <w:rsid w:val="00C12231"/>
    <w:rsid w:val="00C12A39"/>
    <w:rsid w:val="00C12DEF"/>
    <w:rsid w:val="00C15925"/>
    <w:rsid w:val="00C1596E"/>
    <w:rsid w:val="00C166D2"/>
    <w:rsid w:val="00C16D38"/>
    <w:rsid w:val="00C20BBE"/>
    <w:rsid w:val="00C20E45"/>
    <w:rsid w:val="00C211C0"/>
    <w:rsid w:val="00C21EF5"/>
    <w:rsid w:val="00C22622"/>
    <w:rsid w:val="00C23F75"/>
    <w:rsid w:val="00C244C9"/>
    <w:rsid w:val="00C24760"/>
    <w:rsid w:val="00C26252"/>
    <w:rsid w:val="00C262F3"/>
    <w:rsid w:val="00C2636E"/>
    <w:rsid w:val="00C26C7D"/>
    <w:rsid w:val="00C27D3A"/>
    <w:rsid w:val="00C306E3"/>
    <w:rsid w:val="00C31D13"/>
    <w:rsid w:val="00C32BA6"/>
    <w:rsid w:val="00C3455D"/>
    <w:rsid w:val="00C34B42"/>
    <w:rsid w:val="00C34ECC"/>
    <w:rsid w:val="00C35485"/>
    <w:rsid w:val="00C360E2"/>
    <w:rsid w:val="00C362FB"/>
    <w:rsid w:val="00C36B4D"/>
    <w:rsid w:val="00C37A1E"/>
    <w:rsid w:val="00C40424"/>
    <w:rsid w:val="00C407AC"/>
    <w:rsid w:val="00C422F7"/>
    <w:rsid w:val="00C437F9"/>
    <w:rsid w:val="00C43DB5"/>
    <w:rsid w:val="00C449F3"/>
    <w:rsid w:val="00C454E0"/>
    <w:rsid w:val="00C46FF0"/>
    <w:rsid w:val="00C47E7F"/>
    <w:rsid w:val="00C47F2A"/>
    <w:rsid w:val="00C50059"/>
    <w:rsid w:val="00C5066A"/>
    <w:rsid w:val="00C50F7B"/>
    <w:rsid w:val="00C52B3C"/>
    <w:rsid w:val="00C52CD1"/>
    <w:rsid w:val="00C539E9"/>
    <w:rsid w:val="00C5490A"/>
    <w:rsid w:val="00C551AC"/>
    <w:rsid w:val="00C55E6D"/>
    <w:rsid w:val="00C56165"/>
    <w:rsid w:val="00C56983"/>
    <w:rsid w:val="00C601D0"/>
    <w:rsid w:val="00C60893"/>
    <w:rsid w:val="00C609D1"/>
    <w:rsid w:val="00C60EE7"/>
    <w:rsid w:val="00C61212"/>
    <w:rsid w:val="00C6134E"/>
    <w:rsid w:val="00C6171D"/>
    <w:rsid w:val="00C61FED"/>
    <w:rsid w:val="00C6318E"/>
    <w:rsid w:val="00C640DF"/>
    <w:rsid w:val="00C64C71"/>
    <w:rsid w:val="00C6510F"/>
    <w:rsid w:val="00C65E8B"/>
    <w:rsid w:val="00C666E8"/>
    <w:rsid w:val="00C66B03"/>
    <w:rsid w:val="00C671E4"/>
    <w:rsid w:val="00C67601"/>
    <w:rsid w:val="00C6772B"/>
    <w:rsid w:val="00C70E86"/>
    <w:rsid w:val="00C71C12"/>
    <w:rsid w:val="00C72159"/>
    <w:rsid w:val="00C73142"/>
    <w:rsid w:val="00C732D0"/>
    <w:rsid w:val="00C73A9B"/>
    <w:rsid w:val="00C749C0"/>
    <w:rsid w:val="00C75A34"/>
    <w:rsid w:val="00C76870"/>
    <w:rsid w:val="00C77617"/>
    <w:rsid w:val="00C779B4"/>
    <w:rsid w:val="00C77B32"/>
    <w:rsid w:val="00C77C07"/>
    <w:rsid w:val="00C818F6"/>
    <w:rsid w:val="00C81BAC"/>
    <w:rsid w:val="00C82263"/>
    <w:rsid w:val="00C82680"/>
    <w:rsid w:val="00C83613"/>
    <w:rsid w:val="00C847EA"/>
    <w:rsid w:val="00C8535C"/>
    <w:rsid w:val="00C86CA5"/>
    <w:rsid w:val="00C86F94"/>
    <w:rsid w:val="00C87434"/>
    <w:rsid w:val="00C90132"/>
    <w:rsid w:val="00C9202E"/>
    <w:rsid w:val="00C9438C"/>
    <w:rsid w:val="00C954B6"/>
    <w:rsid w:val="00C96360"/>
    <w:rsid w:val="00C96DDD"/>
    <w:rsid w:val="00C97E6C"/>
    <w:rsid w:val="00CA03EE"/>
    <w:rsid w:val="00CA083F"/>
    <w:rsid w:val="00CA3B70"/>
    <w:rsid w:val="00CA4AD9"/>
    <w:rsid w:val="00CA4F10"/>
    <w:rsid w:val="00CA527F"/>
    <w:rsid w:val="00CA6924"/>
    <w:rsid w:val="00CA6DFE"/>
    <w:rsid w:val="00CA7470"/>
    <w:rsid w:val="00CA7862"/>
    <w:rsid w:val="00CA7E26"/>
    <w:rsid w:val="00CA7FF8"/>
    <w:rsid w:val="00CB0CA2"/>
    <w:rsid w:val="00CB342D"/>
    <w:rsid w:val="00CB36DF"/>
    <w:rsid w:val="00CB377F"/>
    <w:rsid w:val="00CB4958"/>
    <w:rsid w:val="00CB4FB5"/>
    <w:rsid w:val="00CB502C"/>
    <w:rsid w:val="00CB52A4"/>
    <w:rsid w:val="00CB68B3"/>
    <w:rsid w:val="00CC0405"/>
    <w:rsid w:val="00CC0FD8"/>
    <w:rsid w:val="00CC2930"/>
    <w:rsid w:val="00CC2FCC"/>
    <w:rsid w:val="00CC396B"/>
    <w:rsid w:val="00CC407C"/>
    <w:rsid w:val="00CC41AD"/>
    <w:rsid w:val="00CC5CDD"/>
    <w:rsid w:val="00CC641C"/>
    <w:rsid w:val="00CC67AD"/>
    <w:rsid w:val="00CC7B75"/>
    <w:rsid w:val="00CD016B"/>
    <w:rsid w:val="00CD0E48"/>
    <w:rsid w:val="00CD16C1"/>
    <w:rsid w:val="00CD17A8"/>
    <w:rsid w:val="00CD3FF6"/>
    <w:rsid w:val="00CD5104"/>
    <w:rsid w:val="00CD79A9"/>
    <w:rsid w:val="00CD7EE6"/>
    <w:rsid w:val="00CE1DB6"/>
    <w:rsid w:val="00CE3E30"/>
    <w:rsid w:val="00CE4A38"/>
    <w:rsid w:val="00CE4AD1"/>
    <w:rsid w:val="00CE503F"/>
    <w:rsid w:val="00CE55E8"/>
    <w:rsid w:val="00CE5A6B"/>
    <w:rsid w:val="00CE6042"/>
    <w:rsid w:val="00CE69A0"/>
    <w:rsid w:val="00CE6D9E"/>
    <w:rsid w:val="00CE75DC"/>
    <w:rsid w:val="00CE7BAC"/>
    <w:rsid w:val="00CE7CC3"/>
    <w:rsid w:val="00CE7D7A"/>
    <w:rsid w:val="00CF1267"/>
    <w:rsid w:val="00CF2F44"/>
    <w:rsid w:val="00CF310A"/>
    <w:rsid w:val="00CF45C1"/>
    <w:rsid w:val="00CF51A7"/>
    <w:rsid w:val="00CF54BA"/>
    <w:rsid w:val="00CF57F7"/>
    <w:rsid w:val="00CF7495"/>
    <w:rsid w:val="00CF7BA2"/>
    <w:rsid w:val="00D01645"/>
    <w:rsid w:val="00D016B8"/>
    <w:rsid w:val="00D01E59"/>
    <w:rsid w:val="00D021B8"/>
    <w:rsid w:val="00D0223F"/>
    <w:rsid w:val="00D02366"/>
    <w:rsid w:val="00D02436"/>
    <w:rsid w:val="00D02A42"/>
    <w:rsid w:val="00D03061"/>
    <w:rsid w:val="00D033CE"/>
    <w:rsid w:val="00D04292"/>
    <w:rsid w:val="00D064B5"/>
    <w:rsid w:val="00D072D2"/>
    <w:rsid w:val="00D07C21"/>
    <w:rsid w:val="00D1014D"/>
    <w:rsid w:val="00D10C00"/>
    <w:rsid w:val="00D10D3A"/>
    <w:rsid w:val="00D11241"/>
    <w:rsid w:val="00D11453"/>
    <w:rsid w:val="00D122D1"/>
    <w:rsid w:val="00D123EB"/>
    <w:rsid w:val="00D1248E"/>
    <w:rsid w:val="00D13B16"/>
    <w:rsid w:val="00D152F3"/>
    <w:rsid w:val="00D15925"/>
    <w:rsid w:val="00D15F64"/>
    <w:rsid w:val="00D17915"/>
    <w:rsid w:val="00D20029"/>
    <w:rsid w:val="00D20F0F"/>
    <w:rsid w:val="00D21586"/>
    <w:rsid w:val="00D226FA"/>
    <w:rsid w:val="00D22E8B"/>
    <w:rsid w:val="00D23D2D"/>
    <w:rsid w:val="00D23F2D"/>
    <w:rsid w:val="00D2578C"/>
    <w:rsid w:val="00D30512"/>
    <w:rsid w:val="00D311D0"/>
    <w:rsid w:val="00D312BF"/>
    <w:rsid w:val="00D32038"/>
    <w:rsid w:val="00D339CA"/>
    <w:rsid w:val="00D33DA7"/>
    <w:rsid w:val="00D33FC6"/>
    <w:rsid w:val="00D348DC"/>
    <w:rsid w:val="00D358DB"/>
    <w:rsid w:val="00D373D5"/>
    <w:rsid w:val="00D37ADA"/>
    <w:rsid w:val="00D40021"/>
    <w:rsid w:val="00D40EF0"/>
    <w:rsid w:val="00D41011"/>
    <w:rsid w:val="00D411C4"/>
    <w:rsid w:val="00D41755"/>
    <w:rsid w:val="00D41F27"/>
    <w:rsid w:val="00D434A8"/>
    <w:rsid w:val="00D4607B"/>
    <w:rsid w:val="00D4612C"/>
    <w:rsid w:val="00D47100"/>
    <w:rsid w:val="00D51AB3"/>
    <w:rsid w:val="00D52D35"/>
    <w:rsid w:val="00D543CD"/>
    <w:rsid w:val="00D56F0A"/>
    <w:rsid w:val="00D57F7A"/>
    <w:rsid w:val="00D607D0"/>
    <w:rsid w:val="00D611FB"/>
    <w:rsid w:val="00D62BE4"/>
    <w:rsid w:val="00D6348C"/>
    <w:rsid w:val="00D63537"/>
    <w:rsid w:val="00D6445D"/>
    <w:rsid w:val="00D65E08"/>
    <w:rsid w:val="00D66208"/>
    <w:rsid w:val="00D66253"/>
    <w:rsid w:val="00D66FCC"/>
    <w:rsid w:val="00D671FF"/>
    <w:rsid w:val="00D67FC1"/>
    <w:rsid w:val="00D67FD5"/>
    <w:rsid w:val="00D70B3B"/>
    <w:rsid w:val="00D710FE"/>
    <w:rsid w:val="00D712C3"/>
    <w:rsid w:val="00D75C59"/>
    <w:rsid w:val="00D75F84"/>
    <w:rsid w:val="00D7713F"/>
    <w:rsid w:val="00D7767F"/>
    <w:rsid w:val="00D77EF2"/>
    <w:rsid w:val="00D8048E"/>
    <w:rsid w:val="00D81491"/>
    <w:rsid w:val="00D815F1"/>
    <w:rsid w:val="00D817AC"/>
    <w:rsid w:val="00D8352E"/>
    <w:rsid w:val="00D8415D"/>
    <w:rsid w:val="00D845A2"/>
    <w:rsid w:val="00D8491F"/>
    <w:rsid w:val="00D84977"/>
    <w:rsid w:val="00D85E38"/>
    <w:rsid w:val="00D861AC"/>
    <w:rsid w:val="00D863B6"/>
    <w:rsid w:val="00D86918"/>
    <w:rsid w:val="00D86F51"/>
    <w:rsid w:val="00D91F9C"/>
    <w:rsid w:val="00D92409"/>
    <w:rsid w:val="00D92738"/>
    <w:rsid w:val="00D92C1F"/>
    <w:rsid w:val="00D93DE9"/>
    <w:rsid w:val="00D940F5"/>
    <w:rsid w:val="00D94E3B"/>
    <w:rsid w:val="00D965D6"/>
    <w:rsid w:val="00DA03EE"/>
    <w:rsid w:val="00DA0866"/>
    <w:rsid w:val="00DA1174"/>
    <w:rsid w:val="00DA1311"/>
    <w:rsid w:val="00DA33B9"/>
    <w:rsid w:val="00DA35C2"/>
    <w:rsid w:val="00DA3784"/>
    <w:rsid w:val="00DA47E6"/>
    <w:rsid w:val="00DA49AB"/>
    <w:rsid w:val="00DA571A"/>
    <w:rsid w:val="00DA5881"/>
    <w:rsid w:val="00DA692E"/>
    <w:rsid w:val="00DA7250"/>
    <w:rsid w:val="00DB042E"/>
    <w:rsid w:val="00DB085F"/>
    <w:rsid w:val="00DB0C4C"/>
    <w:rsid w:val="00DB1653"/>
    <w:rsid w:val="00DB291A"/>
    <w:rsid w:val="00DB2BFD"/>
    <w:rsid w:val="00DB48EA"/>
    <w:rsid w:val="00DB4F1E"/>
    <w:rsid w:val="00DB5169"/>
    <w:rsid w:val="00DB5F27"/>
    <w:rsid w:val="00DB6DD1"/>
    <w:rsid w:val="00DB723C"/>
    <w:rsid w:val="00DB7378"/>
    <w:rsid w:val="00DC137C"/>
    <w:rsid w:val="00DC1FCC"/>
    <w:rsid w:val="00DC291D"/>
    <w:rsid w:val="00DC324D"/>
    <w:rsid w:val="00DC3A11"/>
    <w:rsid w:val="00DC3EE9"/>
    <w:rsid w:val="00DC4803"/>
    <w:rsid w:val="00DC4E53"/>
    <w:rsid w:val="00DC52A1"/>
    <w:rsid w:val="00DC7DA3"/>
    <w:rsid w:val="00DD025C"/>
    <w:rsid w:val="00DD0370"/>
    <w:rsid w:val="00DD1287"/>
    <w:rsid w:val="00DD2ADF"/>
    <w:rsid w:val="00DD2CC2"/>
    <w:rsid w:val="00DD2F43"/>
    <w:rsid w:val="00DD38DB"/>
    <w:rsid w:val="00DD390A"/>
    <w:rsid w:val="00DD4EA6"/>
    <w:rsid w:val="00DD4F52"/>
    <w:rsid w:val="00DD5309"/>
    <w:rsid w:val="00DD656C"/>
    <w:rsid w:val="00DD7C86"/>
    <w:rsid w:val="00DD7E80"/>
    <w:rsid w:val="00DE2317"/>
    <w:rsid w:val="00DE24AA"/>
    <w:rsid w:val="00DE2894"/>
    <w:rsid w:val="00DE36CD"/>
    <w:rsid w:val="00DE3EFD"/>
    <w:rsid w:val="00DE5FD9"/>
    <w:rsid w:val="00DE7278"/>
    <w:rsid w:val="00DF0046"/>
    <w:rsid w:val="00DF08BC"/>
    <w:rsid w:val="00DF1366"/>
    <w:rsid w:val="00DF32B2"/>
    <w:rsid w:val="00DF6964"/>
    <w:rsid w:val="00E001CE"/>
    <w:rsid w:val="00E0138F"/>
    <w:rsid w:val="00E01941"/>
    <w:rsid w:val="00E01F9B"/>
    <w:rsid w:val="00E02589"/>
    <w:rsid w:val="00E02668"/>
    <w:rsid w:val="00E0488C"/>
    <w:rsid w:val="00E065A9"/>
    <w:rsid w:val="00E06C15"/>
    <w:rsid w:val="00E06FAD"/>
    <w:rsid w:val="00E07443"/>
    <w:rsid w:val="00E07981"/>
    <w:rsid w:val="00E07B22"/>
    <w:rsid w:val="00E106F3"/>
    <w:rsid w:val="00E12D37"/>
    <w:rsid w:val="00E141DE"/>
    <w:rsid w:val="00E1763A"/>
    <w:rsid w:val="00E17DAB"/>
    <w:rsid w:val="00E21263"/>
    <w:rsid w:val="00E214DE"/>
    <w:rsid w:val="00E21680"/>
    <w:rsid w:val="00E21CFB"/>
    <w:rsid w:val="00E22260"/>
    <w:rsid w:val="00E2299B"/>
    <w:rsid w:val="00E23306"/>
    <w:rsid w:val="00E23C93"/>
    <w:rsid w:val="00E25EAB"/>
    <w:rsid w:val="00E2634B"/>
    <w:rsid w:val="00E27E73"/>
    <w:rsid w:val="00E301E0"/>
    <w:rsid w:val="00E3049B"/>
    <w:rsid w:val="00E305CF"/>
    <w:rsid w:val="00E3184E"/>
    <w:rsid w:val="00E329A9"/>
    <w:rsid w:val="00E3370F"/>
    <w:rsid w:val="00E34159"/>
    <w:rsid w:val="00E358A5"/>
    <w:rsid w:val="00E36109"/>
    <w:rsid w:val="00E36466"/>
    <w:rsid w:val="00E36EB3"/>
    <w:rsid w:val="00E40F51"/>
    <w:rsid w:val="00E410BA"/>
    <w:rsid w:val="00E418F2"/>
    <w:rsid w:val="00E4192E"/>
    <w:rsid w:val="00E42E9D"/>
    <w:rsid w:val="00E439DD"/>
    <w:rsid w:val="00E43D9D"/>
    <w:rsid w:val="00E448C2"/>
    <w:rsid w:val="00E4584E"/>
    <w:rsid w:val="00E46531"/>
    <w:rsid w:val="00E51ED0"/>
    <w:rsid w:val="00E5226C"/>
    <w:rsid w:val="00E52AB1"/>
    <w:rsid w:val="00E52AD2"/>
    <w:rsid w:val="00E52F94"/>
    <w:rsid w:val="00E53347"/>
    <w:rsid w:val="00E53781"/>
    <w:rsid w:val="00E53F72"/>
    <w:rsid w:val="00E54F79"/>
    <w:rsid w:val="00E55A6B"/>
    <w:rsid w:val="00E56AF0"/>
    <w:rsid w:val="00E577ED"/>
    <w:rsid w:val="00E578DA"/>
    <w:rsid w:val="00E60EA4"/>
    <w:rsid w:val="00E61D5A"/>
    <w:rsid w:val="00E61DBF"/>
    <w:rsid w:val="00E62C13"/>
    <w:rsid w:val="00E6384C"/>
    <w:rsid w:val="00E6387B"/>
    <w:rsid w:val="00E63B00"/>
    <w:rsid w:val="00E63CA3"/>
    <w:rsid w:val="00E6403E"/>
    <w:rsid w:val="00E648C1"/>
    <w:rsid w:val="00E64CD7"/>
    <w:rsid w:val="00E65B1E"/>
    <w:rsid w:val="00E66B13"/>
    <w:rsid w:val="00E6737F"/>
    <w:rsid w:val="00E67461"/>
    <w:rsid w:val="00E67786"/>
    <w:rsid w:val="00E7008D"/>
    <w:rsid w:val="00E70591"/>
    <w:rsid w:val="00E70B3D"/>
    <w:rsid w:val="00E711C7"/>
    <w:rsid w:val="00E719BB"/>
    <w:rsid w:val="00E72898"/>
    <w:rsid w:val="00E73D33"/>
    <w:rsid w:val="00E73D39"/>
    <w:rsid w:val="00E73D45"/>
    <w:rsid w:val="00E73D73"/>
    <w:rsid w:val="00E744E8"/>
    <w:rsid w:val="00E74C85"/>
    <w:rsid w:val="00E74EF2"/>
    <w:rsid w:val="00E75251"/>
    <w:rsid w:val="00E754AA"/>
    <w:rsid w:val="00E75AEA"/>
    <w:rsid w:val="00E75E07"/>
    <w:rsid w:val="00E7654D"/>
    <w:rsid w:val="00E766DE"/>
    <w:rsid w:val="00E76A8F"/>
    <w:rsid w:val="00E77E83"/>
    <w:rsid w:val="00E77EDD"/>
    <w:rsid w:val="00E8054B"/>
    <w:rsid w:val="00E806B3"/>
    <w:rsid w:val="00E80964"/>
    <w:rsid w:val="00E8239A"/>
    <w:rsid w:val="00E82B7A"/>
    <w:rsid w:val="00E82CFB"/>
    <w:rsid w:val="00E84647"/>
    <w:rsid w:val="00E8475A"/>
    <w:rsid w:val="00E8478B"/>
    <w:rsid w:val="00E84867"/>
    <w:rsid w:val="00E850DD"/>
    <w:rsid w:val="00E8595C"/>
    <w:rsid w:val="00E866AF"/>
    <w:rsid w:val="00E87837"/>
    <w:rsid w:val="00E87D10"/>
    <w:rsid w:val="00E9023F"/>
    <w:rsid w:val="00E91318"/>
    <w:rsid w:val="00E935A5"/>
    <w:rsid w:val="00E95EB1"/>
    <w:rsid w:val="00E96CF8"/>
    <w:rsid w:val="00E9743E"/>
    <w:rsid w:val="00EA0873"/>
    <w:rsid w:val="00EA1174"/>
    <w:rsid w:val="00EA27B8"/>
    <w:rsid w:val="00EA2B5D"/>
    <w:rsid w:val="00EA3A39"/>
    <w:rsid w:val="00EA3D4C"/>
    <w:rsid w:val="00EA4BBD"/>
    <w:rsid w:val="00EA4D14"/>
    <w:rsid w:val="00EA4FD0"/>
    <w:rsid w:val="00EA5D09"/>
    <w:rsid w:val="00EA76C4"/>
    <w:rsid w:val="00EB1F29"/>
    <w:rsid w:val="00EB3B96"/>
    <w:rsid w:val="00EB3E26"/>
    <w:rsid w:val="00EB4298"/>
    <w:rsid w:val="00EB4990"/>
    <w:rsid w:val="00EB55A9"/>
    <w:rsid w:val="00EB5BCA"/>
    <w:rsid w:val="00EB636E"/>
    <w:rsid w:val="00EB6D97"/>
    <w:rsid w:val="00EC0618"/>
    <w:rsid w:val="00EC0C8C"/>
    <w:rsid w:val="00EC13EE"/>
    <w:rsid w:val="00EC1710"/>
    <w:rsid w:val="00EC17FB"/>
    <w:rsid w:val="00EC2B8B"/>
    <w:rsid w:val="00EC32E4"/>
    <w:rsid w:val="00EC343D"/>
    <w:rsid w:val="00EC47B5"/>
    <w:rsid w:val="00EC4D02"/>
    <w:rsid w:val="00EC73BB"/>
    <w:rsid w:val="00EC77EC"/>
    <w:rsid w:val="00ED062D"/>
    <w:rsid w:val="00ED070D"/>
    <w:rsid w:val="00ED1C7E"/>
    <w:rsid w:val="00ED5571"/>
    <w:rsid w:val="00ED5978"/>
    <w:rsid w:val="00ED5B1A"/>
    <w:rsid w:val="00ED5FD0"/>
    <w:rsid w:val="00ED644E"/>
    <w:rsid w:val="00ED709F"/>
    <w:rsid w:val="00ED7CD8"/>
    <w:rsid w:val="00EE1CFB"/>
    <w:rsid w:val="00EE331F"/>
    <w:rsid w:val="00EE43EE"/>
    <w:rsid w:val="00EE4F68"/>
    <w:rsid w:val="00EE5ADE"/>
    <w:rsid w:val="00EF07BF"/>
    <w:rsid w:val="00EF0E64"/>
    <w:rsid w:val="00EF1306"/>
    <w:rsid w:val="00EF1328"/>
    <w:rsid w:val="00EF1D39"/>
    <w:rsid w:val="00EF2980"/>
    <w:rsid w:val="00EF2F14"/>
    <w:rsid w:val="00EF42F1"/>
    <w:rsid w:val="00EF6183"/>
    <w:rsid w:val="00EF7247"/>
    <w:rsid w:val="00EF7520"/>
    <w:rsid w:val="00EF764A"/>
    <w:rsid w:val="00EF7AD9"/>
    <w:rsid w:val="00EF7EAB"/>
    <w:rsid w:val="00F0026F"/>
    <w:rsid w:val="00F01376"/>
    <w:rsid w:val="00F037A6"/>
    <w:rsid w:val="00F04926"/>
    <w:rsid w:val="00F049B9"/>
    <w:rsid w:val="00F05724"/>
    <w:rsid w:val="00F05F37"/>
    <w:rsid w:val="00F06341"/>
    <w:rsid w:val="00F06C2D"/>
    <w:rsid w:val="00F06F61"/>
    <w:rsid w:val="00F077D6"/>
    <w:rsid w:val="00F07D29"/>
    <w:rsid w:val="00F10EDD"/>
    <w:rsid w:val="00F12563"/>
    <w:rsid w:val="00F1310A"/>
    <w:rsid w:val="00F139D3"/>
    <w:rsid w:val="00F148EA"/>
    <w:rsid w:val="00F1609A"/>
    <w:rsid w:val="00F17E65"/>
    <w:rsid w:val="00F21054"/>
    <w:rsid w:val="00F21470"/>
    <w:rsid w:val="00F22A8C"/>
    <w:rsid w:val="00F22F0D"/>
    <w:rsid w:val="00F23276"/>
    <w:rsid w:val="00F23339"/>
    <w:rsid w:val="00F2350F"/>
    <w:rsid w:val="00F236F8"/>
    <w:rsid w:val="00F2386A"/>
    <w:rsid w:val="00F24D60"/>
    <w:rsid w:val="00F2583D"/>
    <w:rsid w:val="00F25C5F"/>
    <w:rsid w:val="00F25E01"/>
    <w:rsid w:val="00F261FD"/>
    <w:rsid w:val="00F265CE"/>
    <w:rsid w:val="00F30441"/>
    <w:rsid w:val="00F31796"/>
    <w:rsid w:val="00F31957"/>
    <w:rsid w:val="00F31B16"/>
    <w:rsid w:val="00F33B67"/>
    <w:rsid w:val="00F35B46"/>
    <w:rsid w:val="00F35BA1"/>
    <w:rsid w:val="00F362F6"/>
    <w:rsid w:val="00F368EB"/>
    <w:rsid w:val="00F36D83"/>
    <w:rsid w:val="00F402BF"/>
    <w:rsid w:val="00F40C0F"/>
    <w:rsid w:val="00F41DAB"/>
    <w:rsid w:val="00F42391"/>
    <w:rsid w:val="00F43DD8"/>
    <w:rsid w:val="00F4463E"/>
    <w:rsid w:val="00F45417"/>
    <w:rsid w:val="00F454A6"/>
    <w:rsid w:val="00F461C3"/>
    <w:rsid w:val="00F46488"/>
    <w:rsid w:val="00F464CE"/>
    <w:rsid w:val="00F47D79"/>
    <w:rsid w:val="00F50657"/>
    <w:rsid w:val="00F50B08"/>
    <w:rsid w:val="00F50B8F"/>
    <w:rsid w:val="00F5183B"/>
    <w:rsid w:val="00F51D3E"/>
    <w:rsid w:val="00F54B0E"/>
    <w:rsid w:val="00F55042"/>
    <w:rsid w:val="00F572DB"/>
    <w:rsid w:val="00F618E2"/>
    <w:rsid w:val="00F62F63"/>
    <w:rsid w:val="00F630BB"/>
    <w:rsid w:val="00F63276"/>
    <w:rsid w:val="00F63EE4"/>
    <w:rsid w:val="00F64674"/>
    <w:rsid w:val="00F665C0"/>
    <w:rsid w:val="00F666FB"/>
    <w:rsid w:val="00F66E6B"/>
    <w:rsid w:val="00F67216"/>
    <w:rsid w:val="00F67D44"/>
    <w:rsid w:val="00F70F3A"/>
    <w:rsid w:val="00F72123"/>
    <w:rsid w:val="00F72F77"/>
    <w:rsid w:val="00F73988"/>
    <w:rsid w:val="00F745EB"/>
    <w:rsid w:val="00F74E79"/>
    <w:rsid w:val="00F74FBC"/>
    <w:rsid w:val="00F765E0"/>
    <w:rsid w:val="00F76988"/>
    <w:rsid w:val="00F775C0"/>
    <w:rsid w:val="00F77CEE"/>
    <w:rsid w:val="00F80137"/>
    <w:rsid w:val="00F80909"/>
    <w:rsid w:val="00F81DCE"/>
    <w:rsid w:val="00F84441"/>
    <w:rsid w:val="00F85292"/>
    <w:rsid w:val="00F863E4"/>
    <w:rsid w:val="00F8652D"/>
    <w:rsid w:val="00F87BEC"/>
    <w:rsid w:val="00F87C8E"/>
    <w:rsid w:val="00F90945"/>
    <w:rsid w:val="00F90F82"/>
    <w:rsid w:val="00F916D2"/>
    <w:rsid w:val="00F918ED"/>
    <w:rsid w:val="00F930BD"/>
    <w:rsid w:val="00F94380"/>
    <w:rsid w:val="00F96BCD"/>
    <w:rsid w:val="00F96BDA"/>
    <w:rsid w:val="00F96DB0"/>
    <w:rsid w:val="00FA03E6"/>
    <w:rsid w:val="00FA0D44"/>
    <w:rsid w:val="00FA14D2"/>
    <w:rsid w:val="00FA1F69"/>
    <w:rsid w:val="00FA1FD8"/>
    <w:rsid w:val="00FA260F"/>
    <w:rsid w:val="00FA3261"/>
    <w:rsid w:val="00FA4939"/>
    <w:rsid w:val="00FB1F5A"/>
    <w:rsid w:val="00FB1FE0"/>
    <w:rsid w:val="00FB2988"/>
    <w:rsid w:val="00FB2B97"/>
    <w:rsid w:val="00FB362F"/>
    <w:rsid w:val="00FB4934"/>
    <w:rsid w:val="00FB570B"/>
    <w:rsid w:val="00FB79AB"/>
    <w:rsid w:val="00FB7E38"/>
    <w:rsid w:val="00FC18FA"/>
    <w:rsid w:val="00FC2F77"/>
    <w:rsid w:val="00FC333D"/>
    <w:rsid w:val="00FC5B91"/>
    <w:rsid w:val="00FC711C"/>
    <w:rsid w:val="00FC7736"/>
    <w:rsid w:val="00FD04C1"/>
    <w:rsid w:val="00FD0C65"/>
    <w:rsid w:val="00FD126D"/>
    <w:rsid w:val="00FD1418"/>
    <w:rsid w:val="00FD28E9"/>
    <w:rsid w:val="00FD3B7E"/>
    <w:rsid w:val="00FD43DE"/>
    <w:rsid w:val="00FD5D08"/>
    <w:rsid w:val="00FD72B5"/>
    <w:rsid w:val="00FD76A4"/>
    <w:rsid w:val="00FD7832"/>
    <w:rsid w:val="00FD784F"/>
    <w:rsid w:val="00FD7CC1"/>
    <w:rsid w:val="00FE03AB"/>
    <w:rsid w:val="00FE11D3"/>
    <w:rsid w:val="00FE1990"/>
    <w:rsid w:val="00FE24B6"/>
    <w:rsid w:val="00FE2509"/>
    <w:rsid w:val="00FE25B4"/>
    <w:rsid w:val="00FE2A82"/>
    <w:rsid w:val="00FE31A1"/>
    <w:rsid w:val="00FE4020"/>
    <w:rsid w:val="00FE4B28"/>
    <w:rsid w:val="00FE6467"/>
    <w:rsid w:val="00FE72F7"/>
    <w:rsid w:val="00FE7728"/>
    <w:rsid w:val="00FE78D1"/>
    <w:rsid w:val="00FE7DC4"/>
    <w:rsid w:val="00FE7FE9"/>
    <w:rsid w:val="00FF0A01"/>
    <w:rsid w:val="00FF1006"/>
    <w:rsid w:val="00FF14F3"/>
    <w:rsid w:val="00FF1DDF"/>
    <w:rsid w:val="00FF2164"/>
    <w:rsid w:val="00FF2374"/>
    <w:rsid w:val="00FF2795"/>
    <w:rsid w:val="00FF2FF3"/>
    <w:rsid w:val="00FF3509"/>
    <w:rsid w:val="00FF401F"/>
    <w:rsid w:val="00FF5635"/>
    <w:rsid w:val="00FF57DD"/>
    <w:rsid w:val="00FF5F7C"/>
    <w:rsid w:val="00FF7C13"/>
    <w:rsid w:val="00FF7E95"/>
    <w:rsid w:val="012C83B8"/>
    <w:rsid w:val="01C208FA"/>
    <w:rsid w:val="01E05B71"/>
    <w:rsid w:val="0276D373"/>
    <w:rsid w:val="029E8D2F"/>
    <w:rsid w:val="0367CF55"/>
    <w:rsid w:val="038C567D"/>
    <w:rsid w:val="039CD29B"/>
    <w:rsid w:val="03C988A5"/>
    <w:rsid w:val="04366C19"/>
    <w:rsid w:val="04DF0AE0"/>
    <w:rsid w:val="05BF6A4B"/>
    <w:rsid w:val="06204EA1"/>
    <w:rsid w:val="0650D897"/>
    <w:rsid w:val="06F5721A"/>
    <w:rsid w:val="07C6ED18"/>
    <w:rsid w:val="07D8F238"/>
    <w:rsid w:val="07E46C19"/>
    <w:rsid w:val="08C3BA73"/>
    <w:rsid w:val="091DFD78"/>
    <w:rsid w:val="091F395E"/>
    <w:rsid w:val="0B7A296D"/>
    <w:rsid w:val="0BEDA9D5"/>
    <w:rsid w:val="0DB34DA9"/>
    <w:rsid w:val="0E64A7CB"/>
    <w:rsid w:val="0F52465A"/>
    <w:rsid w:val="0FAA8210"/>
    <w:rsid w:val="107DA674"/>
    <w:rsid w:val="10909304"/>
    <w:rsid w:val="109D617E"/>
    <w:rsid w:val="11B719CA"/>
    <w:rsid w:val="1259C00E"/>
    <w:rsid w:val="1362E383"/>
    <w:rsid w:val="137CD730"/>
    <w:rsid w:val="15982168"/>
    <w:rsid w:val="1744A27A"/>
    <w:rsid w:val="17923758"/>
    <w:rsid w:val="1843FD5A"/>
    <w:rsid w:val="184C01E5"/>
    <w:rsid w:val="1A993C2F"/>
    <w:rsid w:val="1B3E9170"/>
    <w:rsid w:val="1CD5B61D"/>
    <w:rsid w:val="1CFA15DD"/>
    <w:rsid w:val="1D008632"/>
    <w:rsid w:val="1D492899"/>
    <w:rsid w:val="1D5ED3D6"/>
    <w:rsid w:val="1D821DC6"/>
    <w:rsid w:val="1D8D6790"/>
    <w:rsid w:val="1DEC83D8"/>
    <w:rsid w:val="1E6C9BA2"/>
    <w:rsid w:val="1E70C7C8"/>
    <w:rsid w:val="1EC31BE4"/>
    <w:rsid w:val="1F09AE0D"/>
    <w:rsid w:val="2022AA6B"/>
    <w:rsid w:val="20C828C2"/>
    <w:rsid w:val="2187373F"/>
    <w:rsid w:val="2451F8C0"/>
    <w:rsid w:val="2507A99D"/>
    <w:rsid w:val="2575A8D6"/>
    <w:rsid w:val="25A662B9"/>
    <w:rsid w:val="26282C82"/>
    <w:rsid w:val="2643A2F3"/>
    <w:rsid w:val="26D3A0C9"/>
    <w:rsid w:val="27246FC5"/>
    <w:rsid w:val="272B2B1B"/>
    <w:rsid w:val="27B69A82"/>
    <w:rsid w:val="28282CAA"/>
    <w:rsid w:val="283457C5"/>
    <w:rsid w:val="288DE4ED"/>
    <w:rsid w:val="28CE0D0A"/>
    <w:rsid w:val="28DB1322"/>
    <w:rsid w:val="28F974D7"/>
    <w:rsid w:val="29C14A34"/>
    <w:rsid w:val="2A79600B"/>
    <w:rsid w:val="2A850680"/>
    <w:rsid w:val="2AF47FA7"/>
    <w:rsid w:val="2B1E87D1"/>
    <w:rsid w:val="2C472C54"/>
    <w:rsid w:val="2D085BA4"/>
    <w:rsid w:val="2E058054"/>
    <w:rsid w:val="2EB43E6A"/>
    <w:rsid w:val="2EEDED0D"/>
    <w:rsid w:val="2F035AC8"/>
    <w:rsid w:val="2F8ECCA6"/>
    <w:rsid w:val="2FB4AE05"/>
    <w:rsid w:val="306978D8"/>
    <w:rsid w:val="30928138"/>
    <w:rsid w:val="309A075D"/>
    <w:rsid w:val="30CBE4E0"/>
    <w:rsid w:val="31096D7B"/>
    <w:rsid w:val="310DE716"/>
    <w:rsid w:val="313D36E5"/>
    <w:rsid w:val="315699AE"/>
    <w:rsid w:val="318E37D0"/>
    <w:rsid w:val="319DFF34"/>
    <w:rsid w:val="32E8FF60"/>
    <w:rsid w:val="3311A264"/>
    <w:rsid w:val="335224D0"/>
    <w:rsid w:val="33D2A39F"/>
    <w:rsid w:val="3447ECE3"/>
    <w:rsid w:val="348F3C14"/>
    <w:rsid w:val="34A4E170"/>
    <w:rsid w:val="3543CB29"/>
    <w:rsid w:val="356B7052"/>
    <w:rsid w:val="35C44959"/>
    <w:rsid w:val="36360DF6"/>
    <w:rsid w:val="370D4D2A"/>
    <w:rsid w:val="371BA259"/>
    <w:rsid w:val="371FDE8B"/>
    <w:rsid w:val="38035991"/>
    <w:rsid w:val="38A95AF4"/>
    <w:rsid w:val="3A49B349"/>
    <w:rsid w:val="3BBC9EE0"/>
    <w:rsid w:val="3BDC1649"/>
    <w:rsid w:val="3C8D4742"/>
    <w:rsid w:val="3CA1E8E1"/>
    <w:rsid w:val="3CCA9045"/>
    <w:rsid w:val="3D778055"/>
    <w:rsid w:val="3DA40CC3"/>
    <w:rsid w:val="3E9CEC3B"/>
    <w:rsid w:val="410B9E98"/>
    <w:rsid w:val="41182663"/>
    <w:rsid w:val="415577CD"/>
    <w:rsid w:val="4175D47A"/>
    <w:rsid w:val="41B32411"/>
    <w:rsid w:val="41D5C887"/>
    <w:rsid w:val="4222088E"/>
    <w:rsid w:val="43363D5E"/>
    <w:rsid w:val="43A32A34"/>
    <w:rsid w:val="43B2B586"/>
    <w:rsid w:val="43B5E699"/>
    <w:rsid w:val="43C26DD9"/>
    <w:rsid w:val="43DBC80C"/>
    <w:rsid w:val="43FADE3B"/>
    <w:rsid w:val="4436AC1A"/>
    <w:rsid w:val="44387D1A"/>
    <w:rsid w:val="44CB3E16"/>
    <w:rsid w:val="4541B81D"/>
    <w:rsid w:val="4655B65B"/>
    <w:rsid w:val="47193897"/>
    <w:rsid w:val="478CE162"/>
    <w:rsid w:val="47F22BC9"/>
    <w:rsid w:val="4844ADFA"/>
    <w:rsid w:val="48A7AA1D"/>
    <w:rsid w:val="48DECFF8"/>
    <w:rsid w:val="4906DEAB"/>
    <w:rsid w:val="4A3A6D08"/>
    <w:rsid w:val="4A60C63F"/>
    <w:rsid w:val="4B0A7493"/>
    <w:rsid w:val="4B3EAB7D"/>
    <w:rsid w:val="4BC2F7EA"/>
    <w:rsid w:val="4BD5D14C"/>
    <w:rsid w:val="4C33F2F6"/>
    <w:rsid w:val="4C39C7E3"/>
    <w:rsid w:val="4CCB97B4"/>
    <w:rsid w:val="4CEABA3A"/>
    <w:rsid w:val="4D15989C"/>
    <w:rsid w:val="4D5D5CAA"/>
    <w:rsid w:val="4DCEEBFF"/>
    <w:rsid w:val="4EDD3157"/>
    <w:rsid w:val="4F0CB9D3"/>
    <w:rsid w:val="4F3561D6"/>
    <w:rsid w:val="4F4B1648"/>
    <w:rsid w:val="4F6CA7C1"/>
    <w:rsid w:val="4F87A2DD"/>
    <w:rsid w:val="5070B404"/>
    <w:rsid w:val="5102E45F"/>
    <w:rsid w:val="519B059D"/>
    <w:rsid w:val="521D5A39"/>
    <w:rsid w:val="5241845A"/>
    <w:rsid w:val="5274F08B"/>
    <w:rsid w:val="528221AD"/>
    <w:rsid w:val="531B51C8"/>
    <w:rsid w:val="539DA812"/>
    <w:rsid w:val="53D61C35"/>
    <w:rsid w:val="53F1FDA1"/>
    <w:rsid w:val="543F816C"/>
    <w:rsid w:val="54A5E062"/>
    <w:rsid w:val="54E0DD96"/>
    <w:rsid w:val="556FF458"/>
    <w:rsid w:val="5609B0B4"/>
    <w:rsid w:val="5662A75F"/>
    <w:rsid w:val="57956756"/>
    <w:rsid w:val="58304752"/>
    <w:rsid w:val="583FA691"/>
    <w:rsid w:val="5861CDC6"/>
    <w:rsid w:val="5943F972"/>
    <w:rsid w:val="5979A076"/>
    <w:rsid w:val="5A25226E"/>
    <w:rsid w:val="5A2ED101"/>
    <w:rsid w:val="5B34EFCA"/>
    <w:rsid w:val="5BC913EA"/>
    <w:rsid w:val="5C123AD9"/>
    <w:rsid w:val="5C6B7865"/>
    <w:rsid w:val="5CA0763F"/>
    <w:rsid w:val="5D238683"/>
    <w:rsid w:val="5D34E6D9"/>
    <w:rsid w:val="5D5D5A92"/>
    <w:rsid w:val="5D85FAF2"/>
    <w:rsid w:val="5E3340B1"/>
    <w:rsid w:val="5E89F7E1"/>
    <w:rsid w:val="5EA028A1"/>
    <w:rsid w:val="5EAC8082"/>
    <w:rsid w:val="5EEAD23E"/>
    <w:rsid w:val="5F34D9E4"/>
    <w:rsid w:val="5F6BA286"/>
    <w:rsid w:val="605C1A77"/>
    <w:rsid w:val="6108D5C8"/>
    <w:rsid w:val="615C509A"/>
    <w:rsid w:val="6186D276"/>
    <w:rsid w:val="62A2521D"/>
    <w:rsid w:val="62B369D3"/>
    <w:rsid w:val="62C1331D"/>
    <w:rsid w:val="62E971BD"/>
    <w:rsid w:val="638B0359"/>
    <w:rsid w:val="63FA2DE6"/>
    <w:rsid w:val="643F8800"/>
    <w:rsid w:val="64A9BF77"/>
    <w:rsid w:val="64C63CFE"/>
    <w:rsid w:val="65437E18"/>
    <w:rsid w:val="655A4693"/>
    <w:rsid w:val="6655B48B"/>
    <w:rsid w:val="665A625A"/>
    <w:rsid w:val="66A239D9"/>
    <w:rsid w:val="6706580A"/>
    <w:rsid w:val="670C2D96"/>
    <w:rsid w:val="67B8DE3B"/>
    <w:rsid w:val="6A55DE10"/>
    <w:rsid w:val="6A598B60"/>
    <w:rsid w:val="6A6084A5"/>
    <w:rsid w:val="6AE59E69"/>
    <w:rsid w:val="6AF1FF23"/>
    <w:rsid w:val="6AF3EBE7"/>
    <w:rsid w:val="6B135750"/>
    <w:rsid w:val="6B6F5208"/>
    <w:rsid w:val="6C750E2C"/>
    <w:rsid w:val="6F5857E3"/>
    <w:rsid w:val="702198B7"/>
    <w:rsid w:val="7052ABF1"/>
    <w:rsid w:val="71606F1D"/>
    <w:rsid w:val="72211AEC"/>
    <w:rsid w:val="7231E976"/>
    <w:rsid w:val="72607566"/>
    <w:rsid w:val="72E19D35"/>
    <w:rsid w:val="73FF7237"/>
    <w:rsid w:val="741D3F71"/>
    <w:rsid w:val="7430C26D"/>
    <w:rsid w:val="75A4340A"/>
    <w:rsid w:val="75BAA21A"/>
    <w:rsid w:val="75DE1228"/>
    <w:rsid w:val="765D7E0E"/>
    <w:rsid w:val="768417EB"/>
    <w:rsid w:val="78383603"/>
    <w:rsid w:val="79105318"/>
    <w:rsid w:val="7953D048"/>
    <w:rsid w:val="79699882"/>
    <w:rsid w:val="79C3131E"/>
    <w:rsid w:val="79F4DCA7"/>
    <w:rsid w:val="7B7D610E"/>
    <w:rsid w:val="7B82133D"/>
    <w:rsid w:val="7C1EC611"/>
    <w:rsid w:val="7C4A7E67"/>
    <w:rsid w:val="7C9A996F"/>
    <w:rsid w:val="7CCF4093"/>
    <w:rsid w:val="7D126C5E"/>
    <w:rsid w:val="7D2BA8CB"/>
    <w:rsid w:val="7D6E3FD8"/>
    <w:rsid w:val="7DD1B522"/>
    <w:rsid w:val="7E3B2D6E"/>
    <w:rsid w:val="7E77B411"/>
    <w:rsid w:val="7F290031"/>
    <w:rsid w:val="7FE0C4EB"/>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531A707C"/>
  <w15:docId w15:val="{71C76604-C3CB-475A-8454-1B1E1CEF4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szCs w:val="22"/>
        <w:lang w:val="fr-FR" w:eastAsia="fr-FR" w:bidi="ar-SA"/>
      </w:rPr>
    </w:rPrDefault>
    <w:pPrDefault>
      <w:pPr>
        <w:pBdr>
          <w:top w:val="nil"/>
          <w:left w:val="nil"/>
          <w:bottom w:val="nil"/>
          <w:right w:val="nil"/>
          <w:between w:val="nil"/>
        </w:pBdr>
        <w:spacing w:after="120" w:line="264"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E655A"/>
    <w:pPr>
      <w:spacing w:line="240" w:lineRule="auto"/>
    </w:pPr>
    <w:rPr>
      <w:rFonts w:ascii="Arial" w:hAnsi="Arial"/>
      <w:sz w:val="20"/>
    </w:rPr>
  </w:style>
  <w:style w:type="paragraph" w:styleId="Heading1">
    <w:name w:val="heading 1"/>
    <w:basedOn w:val="Normal"/>
    <w:next w:val="Normal"/>
    <w:link w:val="Heading1Char"/>
    <w:rsid w:val="00CC2FCC"/>
    <w:pPr>
      <w:keepNext/>
      <w:keepLines/>
      <w:pBdr>
        <w:bottom w:val="single" w:sz="4" w:space="1" w:color="693228"/>
      </w:pBdr>
      <w:outlineLvl w:val="0"/>
    </w:pPr>
    <w:rPr>
      <w:b/>
      <w:smallCaps/>
      <w:color w:val="693228"/>
      <w:sz w:val="36"/>
      <w:szCs w:val="36"/>
    </w:rPr>
  </w:style>
  <w:style w:type="paragraph" w:styleId="Heading2">
    <w:name w:val="heading 2"/>
    <w:basedOn w:val="Normal"/>
    <w:next w:val="Normal"/>
    <w:link w:val="Heading2Char"/>
    <w:rsid w:val="00BF166C"/>
    <w:pPr>
      <w:keepNext/>
      <w:keepLines/>
      <w:spacing w:before="160"/>
      <w:outlineLvl w:val="1"/>
    </w:pPr>
    <w:rPr>
      <w:b/>
      <w:i/>
      <w:color w:val="8D4121" w:themeColor="accent2" w:themeShade="BF"/>
      <w:sz w:val="28"/>
      <w:szCs w:val="28"/>
    </w:rPr>
  </w:style>
  <w:style w:type="paragraph" w:styleId="Heading3">
    <w:name w:val="heading 3"/>
    <w:basedOn w:val="Normal"/>
    <w:next w:val="Normal"/>
    <w:link w:val="Heading3Char"/>
    <w:rsid w:val="00BE6D5C"/>
    <w:pPr>
      <w:keepNext/>
      <w:keepLines/>
      <w:spacing w:before="120"/>
      <w:outlineLvl w:val="2"/>
    </w:pPr>
    <w:rPr>
      <w:b/>
      <w:i/>
      <w:color w:val="786964"/>
      <w:sz w:val="26"/>
      <w:szCs w:val="26"/>
    </w:rPr>
  </w:style>
  <w:style w:type="paragraph" w:styleId="Heading4">
    <w:name w:val="heading 4"/>
    <w:basedOn w:val="Normal"/>
    <w:next w:val="Normal"/>
    <w:autoRedefine/>
    <w:rsid w:val="00FB1F5A"/>
    <w:pPr>
      <w:pBdr>
        <w:top w:val="none" w:sz="0" w:space="0" w:color="auto"/>
        <w:left w:val="none" w:sz="0" w:space="0" w:color="auto"/>
        <w:bottom w:val="none" w:sz="0" w:space="0" w:color="auto"/>
        <w:right w:val="none" w:sz="0" w:space="0" w:color="auto"/>
        <w:between w:val="none" w:sz="0" w:space="0" w:color="auto"/>
      </w:pBdr>
      <w:spacing w:before="80" w:after="0"/>
      <w:outlineLvl w:val="3"/>
    </w:pPr>
    <w:rPr>
      <w:rFonts w:asciiTheme="minorHAnsi" w:eastAsia="Times New Roman" w:hAnsiTheme="minorHAnsi" w:cstheme="minorHAnsi"/>
      <w:b/>
      <w:color w:val="auto"/>
      <w:szCs w:val="20"/>
      <w:u w:val="single"/>
      <w:lang w:eastAsia="en-GB"/>
    </w:rPr>
  </w:style>
  <w:style w:type="paragraph" w:styleId="Heading5">
    <w:name w:val="heading 5"/>
    <w:basedOn w:val="Normal"/>
    <w:next w:val="Normal"/>
    <w:rsid w:val="00B954DB"/>
    <w:pPr>
      <w:keepNext/>
      <w:keepLines/>
      <w:spacing w:before="80" w:after="0"/>
      <w:outlineLvl w:val="4"/>
    </w:pPr>
    <w:rPr>
      <w:i/>
    </w:rPr>
  </w:style>
  <w:style w:type="paragraph" w:styleId="Heading6">
    <w:name w:val="heading 6"/>
    <w:basedOn w:val="Normal"/>
    <w:next w:val="Normal"/>
    <w:rsid w:val="00B954DB"/>
    <w:pPr>
      <w:keepNext/>
      <w:keepLines/>
      <w:spacing w:before="80" w:after="0"/>
      <w:outlineLvl w:val="5"/>
    </w:pPr>
    <w:rPr>
      <w:color w:val="595959"/>
    </w:rPr>
  </w:style>
  <w:style w:type="paragraph" w:styleId="Heading7">
    <w:name w:val="heading 7"/>
    <w:basedOn w:val="Normal"/>
    <w:next w:val="Normal"/>
    <w:link w:val="Heading7Char"/>
    <w:uiPriority w:val="9"/>
    <w:unhideWhenUsed/>
    <w:qFormat/>
    <w:rsid w:val="006A587F"/>
    <w:pPr>
      <w:keepNext/>
      <w:keepLines/>
      <w:spacing w:before="40" w:after="0"/>
      <w:outlineLvl w:val="6"/>
    </w:pPr>
    <w:rPr>
      <w:rFonts w:asciiTheme="majorHAnsi" w:eastAsiaTheme="majorEastAsia" w:hAnsiTheme="majorHAnsi" w:cstheme="majorBidi"/>
      <w:i/>
      <w:iCs/>
      <w:color w:val="71410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rsid w:val="00B954DB"/>
    <w:tblPr>
      <w:tblCellMar>
        <w:top w:w="0" w:type="dxa"/>
        <w:left w:w="0" w:type="dxa"/>
        <w:bottom w:w="0" w:type="dxa"/>
        <w:right w:w="0" w:type="dxa"/>
      </w:tblCellMar>
    </w:tblPr>
  </w:style>
  <w:style w:type="paragraph" w:styleId="Title">
    <w:name w:val="Title"/>
    <w:basedOn w:val="Normal"/>
    <w:next w:val="Normal"/>
    <w:autoRedefine/>
    <w:rsid w:val="002F38FC"/>
    <w:pPr>
      <w:spacing w:after="0"/>
      <w:ind w:left="360"/>
      <w:contextualSpacing/>
      <w:jc w:val="center"/>
    </w:pPr>
    <w:rPr>
      <w:b/>
      <w:color w:val="DC281E"/>
      <w:sz w:val="72"/>
      <w:szCs w:val="72"/>
    </w:rPr>
  </w:style>
  <w:style w:type="paragraph" w:styleId="Subtitle">
    <w:name w:val="Subtitle"/>
    <w:basedOn w:val="Normal"/>
    <w:next w:val="Normal"/>
    <w:rsid w:val="00B954DB"/>
    <w:pPr>
      <w:spacing w:after="240"/>
    </w:pPr>
    <w:rPr>
      <w:color w:val="404040"/>
      <w:sz w:val="30"/>
      <w:szCs w:val="30"/>
    </w:rPr>
  </w:style>
  <w:style w:type="table" w:customStyle="1" w:styleId="9">
    <w:name w:val="9"/>
    <w:basedOn w:val="TableNormal1"/>
    <w:rsid w:val="00B954DB"/>
    <w:pPr>
      <w:spacing w:after="0" w:line="240" w:lineRule="auto"/>
    </w:pPr>
    <w:rPr>
      <w:sz w:val="24"/>
      <w:szCs w:val="24"/>
    </w:rPr>
    <w:tblPr>
      <w:tblStyleRowBandSize w:val="1"/>
      <w:tblStyleColBandSize w:val="1"/>
      <w:tblCellMar>
        <w:left w:w="108" w:type="dxa"/>
        <w:right w:w="108" w:type="dxa"/>
      </w:tblCellMar>
    </w:tblPr>
  </w:style>
  <w:style w:type="table" w:customStyle="1" w:styleId="8">
    <w:name w:val="8"/>
    <w:basedOn w:val="TableNormal1"/>
    <w:rsid w:val="00B954DB"/>
    <w:tblPr>
      <w:tblStyleRowBandSize w:val="1"/>
      <w:tblStyleColBandSize w:val="1"/>
      <w:tblCellMar>
        <w:top w:w="100" w:type="dxa"/>
        <w:left w:w="100" w:type="dxa"/>
        <w:bottom w:w="100" w:type="dxa"/>
        <w:right w:w="100" w:type="dxa"/>
      </w:tblCellMar>
    </w:tblPr>
  </w:style>
  <w:style w:type="table" w:customStyle="1" w:styleId="7">
    <w:name w:val="7"/>
    <w:basedOn w:val="TableNormal1"/>
    <w:rsid w:val="00B954DB"/>
    <w:tblPr>
      <w:tblStyleRowBandSize w:val="1"/>
      <w:tblStyleColBandSize w:val="1"/>
      <w:tblCellMar>
        <w:top w:w="100" w:type="dxa"/>
        <w:left w:w="100" w:type="dxa"/>
        <w:bottom w:w="100" w:type="dxa"/>
        <w:right w:w="100" w:type="dxa"/>
      </w:tblCellMar>
    </w:tblPr>
  </w:style>
  <w:style w:type="table" w:customStyle="1" w:styleId="6">
    <w:name w:val="6"/>
    <w:basedOn w:val="TableNormal1"/>
    <w:rsid w:val="00B954DB"/>
    <w:tblPr>
      <w:tblStyleRowBandSize w:val="1"/>
      <w:tblStyleColBandSize w:val="1"/>
      <w:tblCellMar>
        <w:left w:w="115" w:type="dxa"/>
        <w:right w:w="115" w:type="dxa"/>
      </w:tblCellMar>
    </w:tblPr>
  </w:style>
  <w:style w:type="table" w:customStyle="1" w:styleId="5">
    <w:name w:val="5"/>
    <w:basedOn w:val="TableNormal1"/>
    <w:rsid w:val="00B954DB"/>
    <w:tblPr>
      <w:tblStyleRowBandSize w:val="1"/>
      <w:tblStyleColBandSize w:val="1"/>
      <w:tblCellMar>
        <w:left w:w="115" w:type="dxa"/>
        <w:right w:w="115" w:type="dxa"/>
      </w:tblCellMar>
    </w:tblPr>
  </w:style>
  <w:style w:type="table" w:customStyle="1" w:styleId="4">
    <w:name w:val="4"/>
    <w:basedOn w:val="TableNormal1"/>
    <w:rsid w:val="00B954DB"/>
    <w:tblPr>
      <w:tblStyleRowBandSize w:val="1"/>
      <w:tblStyleColBandSize w:val="1"/>
      <w:tblCellMar>
        <w:left w:w="115" w:type="dxa"/>
        <w:right w:w="115" w:type="dxa"/>
      </w:tblCellMar>
    </w:tblPr>
  </w:style>
  <w:style w:type="table" w:customStyle="1" w:styleId="3">
    <w:name w:val="3"/>
    <w:basedOn w:val="TableNormal1"/>
    <w:rsid w:val="00B954DB"/>
    <w:tblPr>
      <w:tblStyleRowBandSize w:val="1"/>
      <w:tblStyleColBandSize w:val="1"/>
      <w:tblCellMar>
        <w:left w:w="115" w:type="dxa"/>
        <w:right w:w="115" w:type="dxa"/>
      </w:tblCellMar>
    </w:tblPr>
  </w:style>
  <w:style w:type="table" w:customStyle="1" w:styleId="2">
    <w:name w:val="2"/>
    <w:basedOn w:val="TableNormal1"/>
    <w:rsid w:val="00B954DB"/>
    <w:tblPr>
      <w:tblStyleRowBandSize w:val="1"/>
      <w:tblStyleColBandSize w:val="1"/>
      <w:tblCellMar>
        <w:left w:w="115" w:type="dxa"/>
        <w:right w:w="115" w:type="dxa"/>
      </w:tblCellMar>
    </w:tblPr>
  </w:style>
  <w:style w:type="table" w:customStyle="1" w:styleId="1">
    <w:name w:val="1"/>
    <w:basedOn w:val="TableNormal1"/>
    <w:rsid w:val="00B954DB"/>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7D0851"/>
    <w:pPr>
      <w:tabs>
        <w:tab w:val="center" w:pos="4536"/>
        <w:tab w:val="right" w:pos="9072"/>
      </w:tabs>
      <w:spacing w:after="0"/>
    </w:pPr>
  </w:style>
  <w:style w:type="character" w:customStyle="1" w:styleId="HeaderChar">
    <w:name w:val="Header Char"/>
    <w:basedOn w:val="DefaultParagraphFont"/>
    <w:link w:val="Header"/>
    <w:uiPriority w:val="99"/>
    <w:rsid w:val="007D0851"/>
  </w:style>
  <w:style w:type="paragraph" w:styleId="Footer">
    <w:name w:val="footer"/>
    <w:basedOn w:val="Normal"/>
    <w:link w:val="FooterChar"/>
    <w:uiPriority w:val="99"/>
    <w:unhideWhenUsed/>
    <w:rsid w:val="007D0851"/>
    <w:pPr>
      <w:tabs>
        <w:tab w:val="center" w:pos="4536"/>
        <w:tab w:val="right" w:pos="9072"/>
      </w:tabs>
      <w:spacing w:after="0"/>
    </w:pPr>
  </w:style>
  <w:style w:type="character" w:customStyle="1" w:styleId="FooterChar">
    <w:name w:val="Footer Char"/>
    <w:basedOn w:val="DefaultParagraphFont"/>
    <w:link w:val="Footer"/>
    <w:uiPriority w:val="99"/>
    <w:rsid w:val="007D0851"/>
  </w:style>
  <w:style w:type="paragraph" w:styleId="ListParagraph">
    <w:name w:val="List Paragraph"/>
    <w:aliases w:val="Bullet List,FooterText,List Paragraph1,Colorful List Accent 1,Bullets"/>
    <w:basedOn w:val="Normal"/>
    <w:link w:val="ListParagraphChar"/>
    <w:uiPriority w:val="34"/>
    <w:qFormat/>
    <w:rsid w:val="001412C3"/>
    <w:pPr>
      <w:ind w:left="720"/>
      <w:contextualSpacing/>
    </w:pPr>
  </w:style>
  <w:style w:type="paragraph" w:styleId="BalloonText">
    <w:name w:val="Balloon Text"/>
    <w:basedOn w:val="Normal"/>
    <w:link w:val="BalloonTextChar"/>
    <w:uiPriority w:val="99"/>
    <w:semiHidden/>
    <w:unhideWhenUsed/>
    <w:rsid w:val="00EA5D0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5D09"/>
    <w:rPr>
      <w:rFonts w:ascii="Segoe UI" w:hAnsi="Segoe UI" w:cs="Segoe UI"/>
      <w:sz w:val="18"/>
      <w:szCs w:val="18"/>
    </w:rPr>
  </w:style>
  <w:style w:type="character" w:styleId="CommentReference">
    <w:name w:val="annotation reference"/>
    <w:basedOn w:val="DefaultParagraphFont"/>
    <w:uiPriority w:val="99"/>
    <w:semiHidden/>
    <w:unhideWhenUsed/>
    <w:rsid w:val="00B5624F"/>
    <w:rPr>
      <w:sz w:val="16"/>
      <w:szCs w:val="16"/>
    </w:rPr>
  </w:style>
  <w:style w:type="paragraph" w:styleId="CommentText">
    <w:name w:val="annotation text"/>
    <w:basedOn w:val="Normal"/>
    <w:link w:val="CommentTextChar"/>
    <w:uiPriority w:val="99"/>
    <w:unhideWhenUsed/>
    <w:qFormat/>
    <w:rsid w:val="00B5624F"/>
    <w:rPr>
      <w:szCs w:val="20"/>
    </w:rPr>
  </w:style>
  <w:style w:type="character" w:customStyle="1" w:styleId="CommentTextChar">
    <w:name w:val="Comment Text Char"/>
    <w:basedOn w:val="DefaultParagraphFont"/>
    <w:link w:val="CommentText"/>
    <w:uiPriority w:val="99"/>
    <w:rsid w:val="00B5624F"/>
    <w:rPr>
      <w:sz w:val="20"/>
      <w:szCs w:val="20"/>
    </w:rPr>
  </w:style>
  <w:style w:type="paragraph" w:styleId="CommentSubject">
    <w:name w:val="annotation subject"/>
    <w:basedOn w:val="CommentText"/>
    <w:next w:val="CommentText"/>
    <w:link w:val="CommentSubjectChar"/>
    <w:uiPriority w:val="99"/>
    <w:semiHidden/>
    <w:unhideWhenUsed/>
    <w:rsid w:val="00B5624F"/>
    <w:rPr>
      <w:b/>
      <w:bCs/>
    </w:rPr>
  </w:style>
  <w:style w:type="character" w:customStyle="1" w:styleId="CommentSubjectChar">
    <w:name w:val="Comment Subject Char"/>
    <w:basedOn w:val="CommentTextChar"/>
    <w:link w:val="CommentSubject"/>
    <w:uiPriority w:val="99"/>
    <w:semiHidden/>
    <w:rsid w:val="00B5624F"/>
    <w:rPr>
      <w:b/>
      <w:bCs/>
      <w:sz w:val="20"/>
      <w:szCs w:val="20"/>
    </w:rPr>
  </w:style>
  <w:style w:type="paragraph" w:styleId="FootnoteText">
    <w:name w:val="footnote text"/>
    <w:aliases w:val="Geneva 9,Font: Geneva 9,Boston 10,f,Footnote Text Char1 Char,Footnote Text Char Char Char1,Footnote Text Char1 Char Char Char1,Footnote Text Char1 Char1 Char,Footnote Text Char Char Char Char,Footnote Text Char1 Char Char Char Char"/>
    <w:basedOn w:val="Normal"/>
    <w:link w:val="FootnoteTextChar"/>
    <w:uiPriority w:val="99"/>
    <w:unhideWhenUsed/>
    <w:rsid w:val="00062387"/>
    <w:pPr>
      <w:spacing w:after="0"/>
    </w:pPr>
    <w:rPr>
      <w:sz w:val="17"/>
      <w:szCs w:val="20"/>
    </w:rPr>
  </w:style>
  <w:style w:type="character" w:customStyle="1" w:styleId="FootnoteTextChar">
    <w:name w:val="Footnote Text Char"/>
    <w:aliases w:val="Geneva 9 Char,Font: Geneva 9 Char,Boston 10 Char,f Char,Footnote Text Char1 Char Char,Footnote Text Char Char Char1 Char,Footnote Text Char1 Char Char Char1 Char,Footnote Text Char1 Char1 Char Char"/>
    <w:basedOn w:val="DefaultParagraphFont"/>
    <w:link w:val="FootnoteText"/>
    <w:uiPriority w:val="99"/>
    <w:rsid w:val="00062387"/>
    <w:rPr>
      <w:sz w:val="17"/>
      <w:szCs w:val="20"/>
    </w:rPr>
  </w:style>
  <w:style w:type="character" w:styleId="FootnoteReference">
    <w:name w:val="footnote reference"/>
    <w:aliases w:val="16 Point,Superscript 6 Point,ftref,BVI fnr,BVI fnr Car Car,BVI fnr Car,BVI fnr Car Car Car Car,ftref Char Car Char Car Char Char Char Char Char Char Char Char Char,ftref Char Car Char Car Char,ftr,Appel note de bas de page,SUPERS"/>
    <w:basedOn w:val="DefaultParagraphFont"/>
    <w:link w:val="ftrefCharCarCharCarCharCharCharCharCharCharCharChar"/>
    <w:uiPriority w:val="99"/>
    <w:unhideWhenUsed/>
    <w:rsid w:val="00262491"/>
    <w:rPr>
      <w:vertAlign w:val="superscript"/>
    </w:rPr>
  </w:style>
  <w:style w:type="character" w:customStyle="1" w:styleId="counter">
    <w:name w:val="counter"/>
    <w:rsid w:val="00FD7832"/>
    <w:rPr>
      <w:lang w:val="fr-FR"/>
    </w:rPr>
  </w:style>
  <w:style w:type="paragraph" w:customStyle="1" w:styleId="DefaultText">
    <w:name w:val="Default Text"/>
    <w:basedOn w:val="Normal"/>
    <w:rsid w:val="009D4FE9"/>
    <w:pPr>
      <w:pBdr>
        <w:top w:val="none" w:sz="0" w:space="0" w:color="auto"/>
        <w:left w:val="none" w:sz="0" w:space="0" w:color="auto"/>
        <w:bottom w:val="none" w:sz="0" w:space="0" w:color="auto"/>
        <w:right w:val="none" w:sz="0" w:space="0" w:color="auto"/>
        <w:between w:val="none" w:sz="0" w:space="0" w:color="auto"/>
      </w:pBdr>
      <w:spacing w:after="0"/>
    </w:pPr>
    <w:rPr>
      <w:rFonts w:ascii="Times New Roman" w:eastAsia="Times New Roman" w:hAnsi="Times New Roman" w:cs="Times New Roman"/>
      <w:color w:val="auto"/>
      <w:sz w:val="24"/>
      <w:szCs w:val="20"/>
      <w:lang w:eastAsia="en-US"/>
    </w:rPr>
  </w:style>
  <w:style w:type="table" w:styleId="TableGrid">
    <w:name w:val="Table Grid"/>
    <w:basedOn w:val="TableNormal"/>
    <w:uiPriority w:val="39"/>
    <w:rsid w:val="009D4FE9"/>
    <w:pPr>
      <w:pBdr>
        <w:top w:val="none" w:sz="0" w:space="0" w:color="auto"/>
        <w:left w:val="none" w:sz="0" w:space="0" w:color="auto"/>
        <w:bottom w:val="none" w:sz="0" w:space="0" w:color="auto"/>
        <w:right w:val="none" w:sz="0" w:space="0" w:color="auto"/>
        <w:between w:val="none" w:sz="0" w:space="0" w:color="auto"/>
      </w:pBdr>
      <w:spacing w:after="0" w:line="240" w:lineRule="auto"/>
      <w:jc w:val="left"/>
    </w:pPr>
    <w:rPr>
      <w:rFonts w:ascii="Times New Roman" w:eastAsia="Times New Roman" w:hAnsi="Times New Roman" w:cs="Times New Roman"/>
      <w:color w:val="auto"/>
      <w:sz w:val="20"/>
      <w:szCs w:val="20"/>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9D4FE9"/>
    <w:rPr>
      <w:color w:val="2998E3" w:themeColor="hyperlink"/>
      <w:u w:val="single"/>
    </w:rPr>
  </w:style>
  <w:style w:type="character" w:styleId="SubtleEmphasis">
    <w:name w:val="Subtle Emphasis"/>
    <w:basedOn w:val="DefaultParagraphFont"/>
    <w:uiPriority w:val="19"/>
    <w:qFormat/>
    <w:rsid w:val="009D4FE9"/>
    <w:rPr>
      <w:i/>
      <w:iCs/>
      <w:color w:val="808080" w:themeColor="text1" w:themeTint="7F"/>
    </w:rPr>
  </w:style>
  <w:style w:type="character" w:customStyle="1" w:styleId="st">
    <w:name w:val="st"/>
    <w:basedOn w:val="DefaultParagraphFont"/>
    <w:rsid w:val="00C97E6C"/>
  </w:style>
  <w:style w:type="character" w:styleId="Emphasis">
    <w:name w:val="Emphasis"/>
    <w:basedOn w:val="DefaultParagraphFont"/>
    <w:uiPriority w:val="20"/>
    <w:qFormat/>
    <w:rsid w:val="00C97E6C"/>
    <w:rPr>
      <w:i/>
      <w:iCs/>
    </w:rPr>
  </w:style>
  <w:style w:type="paragraph" w:customStyle="1" w:styleId="Default">
    <w:name w:val="Default"/>
    <w:rsid w:val="00AE145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left"/>
    </w:pPr>
    <w:rPr>
      <w:rFonts w:ascii="Gill Sans MT" w:hAnsi="Gill Sans MT" w:cs="Gill Sans MT"/>
      <w:sz w:val="24"/>
      <w:szCs w:val="24"/>
    </w:rPr>
  </w:style>
  <w:style w:type="character" w:customStyle="1" w:styleId="tagtrans">
    <w:name w:val="tag_trans"/>
    <w:basedOn w:val="DefaultParagraphFont"/>
    <w:rsid w:val="00F24D60"/>
  </w:style>
  <w:style w:type="paragraph" w:customStyle="1" w:styleId="gmail-msolistparagraph">
    <w:name w:val="gmail-msolistparagraph"/>
    <w:basedOn w:val="Normal"/>
    <w:rsid w:val="00E4653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left"/>
    </w:pPr>
    <w:rPr>
      <w:rFonts w:ascii="Times New Roman" w:eastAsiaTheme="minorHAnsi" w:hAnsi="Times New Roman" w:cs="Times New Roman"/>
      <w:color w:val="auto"/>
      <w:sz w:val="24"/>
      <w:szCs w:val="24"/>
      <w:lang w:eastAsia="fr-CH"/>
    </w:rPr>
  </w:style>
  <w:style w:type="paragraph" w:customStyle="1" w:styleId="TerHumformat">
    <w:name w:val="TerHum format"/>
    <w:basedOn w:val="Normal"/>
    <w:link w:val="TerHumformatCar"/>
    <w:qFormat/>
    <w:rsid w:val="00BE0F3B"/>
  </w:style>
  <w:style w:type="character" w:customStyle="1" w:styleId="TerHumformatCar">
    <w:name w:val="TerHum format Car"/>
    <w:basedOn w:val="DefaultParagraphFont"/>
    <w:link w:val="TerHumformat"/>
    <w:rsid w:val="00BE0F3B"/>
    <w:rPr>
      <w:lang w:val="fr-FR"/>
    </w:rPr>
  </w:style>
  <w:style w:type="paragraph" w:styleId="TOCHeading">
    <w:name w:val="TOC Heading"/>
    <w:basedOn w:val="Heading1"/>
    <w:next w:val="Normal"/>
    <w:uiPriority w:val="39"/>
    <w:unhideWhenUsed/>
    <w:qFormat/>
    <w:rsid w:val="00EB3E26"/>
    <w:pPr>
      <w:pBdr>
        <w:top w:val="none" w:sz="0" w:space="0" w:color="auto"/>
        <w:left w:val="none" w:sz="0" w:space="0" w:color="auto"/>
        <w:bottom w:val="none" w:sz="0" w:space="0" w:color="auto"/>
        <w:right w:val="none" w:sz="0" w:space="0" w:color="auto"/>
        <w:between w:val="none" w:sz="0" w:space="0" w:color="auto"/>
      </w:pBdr>
      <w:spacing w:before="240" w:after="0" w:line="259" w:lineRule="auto"/>
      <w:jc w:val="left"/>
      <w:outlineLvl w:val="9"/>
    </w:pPr>
    <w:rPr>
      <w:rFonts w:asciiTheme="majorHAnsi" w:eastAsiaTheme="majorEastAsia" w:hAnsiTheme="majorHAnsi" w:cstheme="majorBidi"/>
      <w:b w:val="0"/>
      <w:color w:val="AA610D" w:themeColor="accent1" w:themeShade="BF"/>
      <w:sz w:val="32"/>
      <w:szCs w:val="32"/>
    </w:rPr>
  </w:style>
  <w:style w:type="paragraph" w:styleId="TOC1">
    <w:name w:val="toc 1"/>
    <w:basedOn w:val="Normal"/>
    <w:next w:val="Normal"/>
    <w:autoRedefine/>
    <w:uiPriority w:val="39"/>
    <w:unhideWhenUsed/>
    <w:rsid w:val="007D3AFE"/>
    <w:pPr>
      <w:tabs>
        <w:tab w:val="right" w:leader="dot" w:pos="10194"/>
      </w:tabs>
      <w:spacing w:after="100"/>
    </w:pPr>
    <w:rPr>
      <w:b/>
      <w:noProof/>
    </w:rPr>
  </w:style>
  <w:style w:type="paragraph" w:styleId="TOC2">
    <w:name w:val="toc 2"/>
    <w:basedOn w:val="Normal"/>
    <w:next w:val="Normal"/>
    <w:autoRedefine/>
    <w:uiPriority w:val="39"/>
    <w:unhideWhenUsed/>
    <w:rsid w:val="0085076F"/>
    <w:pPr>
      <w:tabs>
        <w:tab w:val="right" w:leader="dot" w:pos="10082"/>
      </w:tabs>
      <w:spacing w:after="100"/>
      <w:ind w:left="220"/>
      <w:jc w:val="left"/>
    </w:pPr>
  </w:style>
  <w:style w:type="paragraph" w:styleId="TOC3">
    <w:name w:val="toc 3"/>
    <w:basedOn w:val="Normal"/>
    <w:next w:val="Normal"/>
    <w:autoRedefine/>
    <w:uiPriority w:val="39"/>
    <w:unhideWhenUsed/>
    <w:rsid w:val="005B6CEC"/>
    <w:pPr>
      <w:tabs>
        <w:tab w:val="right" w:leader="dot" w:pos="10194"/>
      </w:tabs>
      <w:spacing w:after="100"/>
      <w:ind w:left="440"/>
    </w:pPr>
    <w:rPr>
      <w:noProof/>
      <w:szCs w:val="20"/>
    </w:rPr>
  </w:style>
  <w:style w:type="table" w:customStyle="1" w:styleId="TableGrid1">
    <w:name w:val="Table Grid1"/>
    <w:basedOn w:val="TableNormal"/>
    <w:next w:val="TableGrid"/>
    <w:uiPriority w:val="59"/>
    <w:rsid w:val="006306A1"/>
    <w:pPr>
      <w:pBdr>
        <w:top w:val="none" w:sz="0" w:space="0" w:color="auto"/>
        <w:left w:val="none" w:sz="0" w:space="0" w:color="auto"/>
        <w:bottom w:val="none" w:sz="0" w:space="0" w:color="auto"/>
        <w:right w:val="none" w:sz="0" w:space="0" w:color="auto"/>
        <w:between w:val="none" w:sz="0" w:space="0" w:color="auto"/>
      </w:pBdr>
      <w:spacing w:after="0" w:line="240" w:lineRule="auto"/>
      <w:jc w:val="left"/>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rsid w:val="006A587F"/>
    <w:rPr>
      <w:rFonts w:asciiTheme="majorHAnsi" w:eastAsiaTheme="majorEastAsia" w:hAnsiTheme="majorHAnsi" w:cstheme="majorBidi"/>
      <w:i/>
      <w:iCs/>
      <w:color w:val="714109" w:themeColor="accent1" w:themeShade="7F"/>
    </w:rPr>
  </w:style>
  <w:style w:type="paragraph" w:styleId="NormalWeb">
    <w:name w:val="Normal (Web)"/>
    <w:basedOn w:val="Normal"/>
    <w:uiPriority w:val="99"/>
    <w:semiHidden/>
    <w:unhideWhenUsed/>
    <w:rsid w:val="000004E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left"/>
    </w:pPr>
    <w:rPr>
      <w:rFonts w:ascii="Times New Roman" w:eastAsiaTheme="minorEastAsia" w:hAnsi="Times New Roman" w:cs="Times New Roman"/>
      <w:color w:val="auto"/>
      <w:sz w:val="24"/>
      <w:szCs w:val="24"/>
    </w:rPr>
  </w:style>
  <w:style w:type="paragraph" w:styleId="NoSpacing">
    <w:name w:val="No Spacing"/>
    <w:uiPriority w:val="1"/>
    <w:qFormat/>
    <w:rsid w:val="00E25EAB"/>
    <w:pPr>
      <w:spacing w:after="0" w:line="240" w:lineRule="auto"/>
    </w:pPr>
  </w:style>
  <w:style w:type="character" w:customStyle="1" w:styleId="ListParagraphChar">
    <w:name w:val="List Paragraph Char"/>
    <w:aliases w:val="Bullet List Char,FooterText Char,List Paragraph1 Char,Colorful List Accent 1 Char,Bullets Char"/>
    <w:link w:val="ListParagraph"/>
    <w:uiPriority w:val="34"/>
    <w:locked/>
    <w:rsid w:val="00CE5A6B"/>
  </w:style>
  <w:style w:type="paragraph" w:customStyle="1" w:styleId="paragraph">
    <w:name w:val="paragraph"/>
    <w:basedOn w:val="Normal"/>
    <w:rsid w:val="00073BEB"/>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left"/>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073BEB"/>
  </w:style>
  <w:style w:type="character" w:customStyle="1" w:styleId="eop">
    <w:name w:val="eop"/>
    <w:basedOn w:val="DefaultParagraphFont"/>
    <w:rsid w:val="00073BEB"/>
  </w:style>
  <w:style w:type="character" w:customStyle="1" w:styleId="spellingerror">
    <w:name w:val="spellingerror"/>
    <w:basedOn w:val="DefaultParagraphFont"/>
    <w:rsid w:val="00073BEB"/>
  </w:style>
  <w:style w:type="character" w:customStyle="1" w:styleId="advancedproofingissue">
    <w:name w:val="advancedproofingissue"/>
    <w:basedOn w:val="DefaultParagraphFont"/>
    <w:rsid w:val="009A3AFF"/>
  </w:style>
  <w:style w:type="paragraph" w:styleId="EndnoteText">
    <w:name w:val="endnote text"/>
    <w:basedOn w:val="Normal"/>
    <w:link w:val="EndnoteTextChar"/>
    <w:uiPriority w:val="99"/>
    <w:semiHidden/>
    <w:unhideWhenUsed/>
    <w:rsid w:val="007B218E"/>
    <w:pPr>
      <w:spacing w:after="0"/>
    </w:pPr>
    <w:rPr>
      <w:szCs w:val="20"/>
    </w:rPr>
  </w:style>
  <w:style w:type="character" w:customStyle="1" w:styleId="EndnoteTextChar">
    <w:name w:val="Endnote Text Char"/>
    <w:basedOn w:val="DefaultParagraphFont"/>
    <w:link w:val="EndnoteText"/>
    <w:uiPriority w:val="99"/>
    <w:semiHidden/>
    <w:rsid w:val="007B218E"/>
    <w:rPr>
      <w:sz w:val="20"/>
      <w:szCs w:val="20"/>
    </w:rPr>
  </w:style>
  <w:style w:type="character" w:styleId="EndnoteReference">
    <w:name w:val="endnote reference"/>
    <w:basedOn w:val="DefaultParagraphFont"/>
    <w:uiPriority w:val="99"/>
    <w:semiHidden/>
    <w:unhideWhenUsed/>
    <w:rsid w:val="007B218E"/>
    <w:rPr>
      <w:vertAlign w:val="superscript"/>
    </w:rPr>
  </w:style>
  <w:style w:type="paragraph" w:styleId="Revision">
    <w:name w:val="Revision"/>
    <w:hidden/>
    <w:uiPriority w:val="99"/>
    <w:semiHidden/>
    <w:rsid w:val="00C6510F"/>
    <w:pPr>
      <w:pBdr>
        <w:top w:val="none" w:sz="0" w:space="0" w:color="auto"/>
        <w:left w:val="none" w:sz="0" w:space="0" w:color="auto"/>
        <w:bottom w:val="none" w:sz="0" w:space="0" w:color="auto"/>
        <w:right w:val="none" w:sz="0" w:space="0" w:color="auto"/>
        <w:between w:val="none" w:sz="0" w:space="0" w:color="auto"/>
      </w:pBdr>
      <w:spacing w:after="0" w:line="240" w:lineRule="auto"/>
      <w:jc w:val="left"/>
    </w:pPr>
  </w:style>
  <w:style w:type="character" w:customStyle="1" w:styleId="Heading1Char">
    <w:name w:val="Heading 1 Char"/>
    <w:basedOn w:val="DefaultParagraphFont"/>
    <w:link w:val="Heading1"/>
    <w:rsid w:val="00CC2FCC"/>
    <w:rPr>
      <w:rFonts w:ascii="Arial" w:hAnsi="Arial"/>
      <w:b/>
      <w:smallCaps/>
      <w:color w:val="693228"/>
      <w:sz w:val="36"/>
      <w:szCs w:val="36"/>
    </w:rPr>
  </w:style>
  <w:style w:type="character" w:customStyle="1" w:styleId="Heading2Char">
    <w:name w:val="Heading 2 Char"/>
    <w:basedOn w:val="DefaultParagraphFont"/>
    <w:link w:val="Heading2"/>
    <w:rsid w:val="00BF166C"/>
    <w:rPr>
      <w:rFonts w:ascii="Arial" w:hAnsi="Arial"/>
      <w:b/>
      <w:i/>
      <w:color w:val="8D4121" w:themeColor="accent2" w:themeShade="BF"/>
      <w:sz w:val="28"/>
      <w:szCs w:val="28"/>
    </w:rPr>
  </w:style>
  <w:style w:type="character" w:customStyle="1" w:styleId="UnresolvedMention1">
    <w:name w:val="Unresolved Mention1"/>
    <w:basedOn w:val="DefaultParagraphFont"/>
    <w:uiPriority w:val="99"/>
    <w:semiHidden/>
    <w:unhideWhenUsed/>
    <w:rsid w:val="00F42391"/>
    <w:rPr>
      <w:color w:val="808080"/>
      <w:shd w:val="clear" w:color="auto" w:fill="E6E6E6"/>
    </w:rPr>
  </w:style>
  <w:style w:type="paragraph" w:customStyle="1" w:styleId="ftrefCharCarCharCarCharCharCharCharCharCharCharChar">
    <w:name w:val="ftref Char Car Char Car Char Char Char Char Char Char Char Char"/>
    <w:aliases w:val="ftref Char Car Char Car Char Car Car Char Car Car Char Car Char Car Char Char Char Char Char Char Char Char"/>
    <w:basedOn w:val="Normal"/>
    <w:link w:val="FootnoteReference"/>
    <w:uiPriority w:val="99"/>
    <w:rsid w:val="00731DD7"/>
    <w:pPr>
      <w:pBdr>
        <w:top w:val="none" w:sz="0" w:space="0" w:color="auto"/>
        <w:left w:val="none" w:sz="0" w:space="0" w:color="auto"/>
        <w:bottom w:val="none" w:sz="0" w:space="0" w:color="auto"/>
        <w:right w:val="none" w:sz="0" w:space="0" w:color="auto"/>
        <w:between w:val="none" w:sz="0" w:space="0" w:color="auto"/>
      </w:pBdr>
      <w:spacing w:after="160" w:line="240" w:lineRule="exact"/>
      <w:jc w:val="left"/>
    </w:pPr>
    <w:rPr>
      <w:rFonts w:ascii="Calibri" w:hAnsi="Calibri"/>
      <w:sz w:val="22"/>
      <w:vertAlign w:val="superscript"/>
    </w:rPr>
  </w:style>
  <w:style w:type="character" w:customStyle="1" w:styleId="FooterFWRChar">
    <w:name w:val="Footer_FWR Char"/>
    <w:basedOn w:val="DefaultParagraphFont"/>
    <w:link w:val="FooterFWR"/>
    <w:locked/>
    <w:rsid w:val="00731DD7"/>
    <w:rPr>
      <w:rFonts w:ascii="HelveticaNeueLT Std Thin" w:hAnsi="HelveticaNeueLT Std Thin"/>
      <w:sz w:val="16"/>
      <w:szCs w:val="16"/>
      <w:lang w:val="fr-FR" w:eastAsia="en-US"/>
    </w:rPr>
  </w:style>
  <w:style w:type="paragraph" w:customStyle="1" w:styleId="FooterFWR">
    <w:name w:val="Footer_FWR"/>
    <w:basedOn w:val="FootnoteText"/>
    <w:link w:val="FooterFWRChar"/>
    <w:qFormat/>
    <w:rsid w:val="00731DD7"/>
    <w:pPr>
      <w:pBdr>
        <w:top w:val="none" w:sz="0" w:space="0" w:color="auto"/>
        <w:left w:val="none" w:sz="0" w:space="0" w:color="auto"/>
        <w:bottom w:val="none" w:sz="0" w:space="0" w:color="auto"/>
        <w:right w:val="none" w:sz="0" w:space="0" w:color="auto"/>
        <w:between w:val="none" w:sz="0" w:space="0" w:color="auto"/>
      </w:pBdr>
      <w:jc w:val="left"/>
    </w:pPr>
    <w:rPr>
      <w:rFonts w:ascii="HelveticaNeueLT Std Thin" w:hAnsi="HelveticaNeueLT Std Thin"/>
      <w:sz w:val="16"/>
      <w:szCs w:val="16"/>
      <w:lang w:eastAsia="en-US"/>
    </w:rPr>
  </w:style>
  <w:style w:type="character" w:customStyle="1" w:styleId="Heading3Char">
    <w:name w:val="Heading 3 Char"/>
    <w:basedOn w:val="DefaultParagraphFont"/>
    <w:link w:val="Heading3"/>
    <w:rsid w:val="006118D8"/>
    <w:rPr>
      <w:rFonts w:ascii="Arial" w:hAnsi="Arial"/>
      <w:b/>
      <w:i/>
      <w:color w:val="786964"/>
      <w:sz w:val="26"/>
      <w:szCs w:val="26"/>
    </w:rPr>
  </w:style>
  <w:style w:type="character" w:styleId="FollowedHyperlink">
    <w:name w:val="FollowedHyperlink"/>
    <w:basedOn w:val="DefaultParagraphFont"/>
    <w:uiPriority w:val="99"/>
    <w:semiHidden/>
    <w:unhideWhenUsed/>
    <w:rsid w:val="00034F36"/>
    <w:rPr>
      <w:color w:val="8C8C8C" w:themeColor="followedHyperlink"/>
      <w:u w:val="single"/>
    </w:rPr>
  </w:style>
  <w:style w:type="character" w:customStyle="1" w:styleId="A1">
    <w:name w:val="A1"/>
    <w:uiPriority w:val="99"/>
    <w:rsid w:val="00D81491"/>
    <w:rPr>
      <w:rFonts w:cs="Franklin Gothic Medium Cond"/>
      <w:sz w:val="22"/>
      <w:szCs w:val="22"/>
    </w:rPr>
  </w:style>
  <w:style w:type="character" w:customStyle="1" w:styleId="A2">
    <w:name w:val="A2"/>
    <w:uiPriority w:val="99"/>
    <w:rsid w:val="00D81491"/>
    <w:rPr>
      <w:rFonts w:cs="Franklin Gothic Medium Cond"/>
      <w:sz w:val="22"/>
      <w:szCs w:val="22"/>
    </w:rPr>
  </w:style>
  <w:style w:type="character" w:customStyle="1" w:styleId="A13">
    <w:name w:val="A13"/>
    <w:uiPriority w:val="99"/>
    <w:rsid w:val="001D4193"/>
    <w:rPr>
      <w:rFonts w:cs="Helvetica Neue"/>
      <w:color w:val="000000"/>
      <w:sz w:val="14"/>
      <w:szCs w:val="14"/>
    </w:rPr>
  </w:style>
  <w:style w:type="character" w:customStyle="1" w:styleId="UnresolvedMention2">
    <w:name w:val="Unresolved Mention2"/>
    <w:basedOn w:val="DefaultParagraphFont"/>
    <w:uiPriority w:val="99"/>
    <w:semiHidden/>
    <w:unhideWhenUsed/>
    <w:rsid w:val="00DC291D"/>
    <w:rPr>
      <w:color w:val="605E5C"/>
      <w:shd w:val="clear" w:color="auto" w:fill="E1DFDD"/>
    </w:rPr>
  </w:style>
  <w:style w:type="table" w:customStyle="1" w:styleId="Grilledutableau1">
    <w:name w:val="Grille du tableau1"/>
    <w:basedOn w:val="TableNormal"/>
    <w:next w:val="TableGrid"/>
    <w:uiPriority w:val="39"/>
    <w:rsid w:val="00973F85"/>
    <w:pPr>
      <w:pBdr>
        <w:top w:val="none" w:sz="0" w:space="0" w:color="auto"/>
        <w:left w:val="none" w:sz="0" w:space="0" w:color="auto"/>
        <w:bottom w:val="none" w:sz="0" w:space="0" w:color="auto"/>
        <w:right w:val="none" w:sz="0" w:space="0" w:color="auto"/>
        <w:between w:val="none" w:sz="0" w:space="0" w:color="auto"/>
      </w:pBdr>
      <w:spacing w:after="0" w:line="240" w:lineRule="auto"/>
      <w:jc w:val="left"/>
    </w:pPr>
    <w:rPr>
      <w:rFonts w:cs="Arial"/>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unhideWhenUsed/>
    <w:rsid w:val="00CE3E30"/>
    <w:rPr>
      <w:color w:val="605E5C"/>
      <w:shd w:val="clear" w:color="auto" w:fill="E1DFDD"/>
    </w:rPr>
  </w:style>
  <w:style w:type="character" w:customStyle="1" w:styleId="Mention1">
    <w:name w:val="Mention1"/>
    <w:basedOn w:val="DefaultParagraphFont"/>
    <w:uiPriority w:val="99"/>
    <w:unhideWhenUsed/>
    <w:rsid w:val="00CE3E30"/>
    <w:rPr>
      <w:color w:val="2B579A"/>
      <w:shd w:val="clear" w:color="auto" w:fill="E1DFDD"/>
    </w:rPr>
  </w:style>
  <w:style w:type="character" w:customStyle="1" w:styleId="UnresolvedMention4">
    <w:name w:val="Unresolved Mention4"/>
    <w:basedOn w:val="DefaultParagraphFont"/>
    <w:uiPriority w:val="99"/>
    <w:semiHidden/>
    <w:unhideWhenUsed/>
    <w:rsid w:val="00A96E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29342">
      <w:bodyDiv w:val="1"/>
      <w:marLeft w:val="0"/>
      <w:marRight w:val="0"/>
      <w:marTop w:val="0"/>
      <w:marBottom w:val="0"/>
      <w:divBdr>
        <w:top w:val="none" w:sz="0" w:space="0" w:color="auto"/>
        <w:left w:val="none" w:sz="0" w:space="0" w:color="auto"/>
        <w:bottom w:val="none" w:sz="0" w:space="0" w:color="auto"/>
        <w:right w:val="none" w:sz="0" w:space="0" w:color="auto"/>
      </w:divBdr>
      <w:divsChild>
        <w:div w:id="637107075">
          <w:marLeft w:val="0"/>
          <w:marRight w:val="0"/>
          <w:marTop w:val="0"/>
          <w:marBottom w:val="0"/>
          <w:divBdr>
            <w:top w:val="none" w:sz="0" w:space="0" w:color="auto"/>
            <w:left w:val="none" w:sz="0" w:space="0" w:color="auto"/>
            <w:bottom w:val="none" w:sz="0" w:space="0" w:color="auto"/>
            <w:right w:val="none" w:sz="0" w:space="0" w:color="auto"/>
          </w:divBdr>
        </w:div>
      </w:divsChild>
    </w:div>
    <w:div w:id="20253081">
      <w:bodyDiv w:val="1"/>
      <w:marLeft w:val="0"/>
      <w:marRight w:val="0"/>
      <w:marTop w:val="0"/>
      <w:marBottom w:val="0"/>
      <w:divBdr>
        <w:top w:val="none" w:sz="0" w:space="0" w:color="auto"/>
        <w:left w:val="none" w:sz="0" w:space="0" w:color="auto"/>
        <w:bottom w:val="none" w:sz="0" w:space="0" w:color="auto"/>
        <w:right w:val="none" w:sz="0" w:space="0" w:color="auto"/>
      </w:divBdr>
      <w:divsChild>
        <w:div w:id="590547385">
          <w:marLeft w:val="274"/>
          <w:marRight w:val="0"/>
          <w:marTop w:val="0"/>
          <w:marBottom w:val="0"/>
          <w:divBdr>
            <w:top w:val="none" w:sz="0" w:space="0" w:color="auto"/>
            <w:left w:val="none" w:sz="0" w:space="0" w:color="auto"/>
            <w:bottom w:val="none" w:sz="0" w:space="0" w:color="auto"/>
            <w:right w:val="none" w:sz="0" w:space="0" w:color="auto"/>
          </w:divBdr>
        </w:div>
      </w:divsChild>
    </w:div>
    <w:div w:id="49349336">
      <w:bodyDiv w:val="1"/>
      <w:marLeft w:val="0"/>
      <w:marRight w:val="0"/>
      <w:marTop w:val="0"/>
      <w:marBottom w:val="0"/>
      <w:divBdr>
        <w:top w:val="none" w:sz="0" w:space="0" w:color="auto"/>
        <w:left w:val="none" w:sz="0" w:space="0" w:color="auto"/>
        <w:bottom w:val="none" w:sz="0" w:space="0" w:color="auto"/>
        <w:right w:val="none" w:sz="0" w:space="0" w:color="auto"/>
      </w:divBdr>
    </w:div>
    <w:div w:id="66538701">
      <w:bodyDiv w:val="1"/>
      <w:marLeft w:val="0"/>
      <w:marRight w:val="0"/>
      <w:marTop w:val="0"/>
      <w:marBottom w:val="0"/>
      <w:divBdr>
        <w:top w:val="none" w:sz="0" w:space="0" w:color="auto"/>
        <w:left w:val="none" w:sz="0" w:space="0" w:color="auto"/>
        <w:bottom w:val="none" w:sz="0" w:space="0" w:color="auto"/>
        <w:right w:val="none" w:sz="0" w:space="0" w:color="auto"/>
      </w:divBdr>
    </w:div>
    <w:div w:id="99571660">
      <w:bodyDiv w:val="1"/>
      <w:marLeft w:val="0"/>
      <w:marRight w:val="0"/>
      <w:marTop w:val="0"/>
      <w:marBottom w:val="0"/>
      <w:divBdr>
        <w:top w:val="none" w:sz="0" w:space="0" w:color="auto"/>
        <w:left w:val="none" w:sz="0" w:space="0" w:color="auto"/>
        <w:bottom w:val="none" w:sz="0" w:space="0" w:color="auto"/>
        <w:right w:val="none" w:sz="0" w:space="0" w:color="auto"/>
      </w:divBdr>
    </w:div>
    <w:div w:id="105975748">
      <w:bodyDiv w:val="1"/>
      <w:marLeft w:val="0"/>
      <w:marRight w:val="0"/>
      <w:marTop w:val="0"/>
      <w:marBottom w:val="0"/>
      <w:divBdr>
        <w:top w:val="none" w:sz="0" w:space="0" w:color="auto"/>
        <w:left w:val="none" w:sz="0" w:space="0" w:color="auto"/>
        <w:bottom w:val="none" w:sz="0" w:space="0" w:color="auto"/>
        <w:right w:val="none" w:sz="0" w:space="0" w:color="auto"/>
      </w:divBdr>
      <w:divsChild>
        <w:div w:id="158037840">
          <w:marLeft w:val="0"/>
          <w:marRight w:val="0"/>
          <w:marTop w:val="79"/>
          <w:marBottom w:val="0"/>
          <w:divBdr>
            <w:top w:val="none" w:sz="0" w:space="0" w:color="auto"/>
            <w:left w:val="none" w:sz="0" w:space="0" w:color="auto"/>
            <w:bottom w:val="none" w:sz="0" w:space="0" w:color="auto"/>
            <w:right w:val="none" w:sz="0" w:space="0" w:color="auto"/>
          </w:divBdr>
        </w:div>
        <w:div w:id="1211187071">
          <w:marLeft w:val="0"/>
          <w:marRight w:val="0"/>
          <w:marTop w:val="79"/>
          <w:marBottom w:val="0"/>
          <w:divBdr>
            <w:top w:val="none" w:sz="0" w:space="0" w:color="auto"/>
            <w:left w:val="none" w:sz="0" w:space="0" w:color="auto"/>
            <w:bottom w:val="none" w:sz="0" w:space="0" w:color="auto"/>
            <w:right w:val="none" w:sz="0" w:space="0" w:color="auto"/>
          </w:divBdr>
        </w:div>
        <w:div w:id="1589459732">
          <w:marLeft w:val="0"/>
          <w:marRight w:val="0"/>
          <w:marTop w:val="79"/>
          <w:marBottom w:val="0"/>
          <w:divBdr>
            <w:top w:val="none" w:sz="0" w:space="0" w:color="auto"/>
            <w:left w:val="none" w:sz="0" w:space="0" w:color="auto"/>
            <w:bottom w:val="none" w:sz="0" w:space="0" w:color="auto"/>
            <w:right w:val="none" w:sz="0" w:space="0" w:color="auto"/>
          </w:divBdr>
        </w:div>
      </w:divsChild>
    </w:div>
    <w:div w:id="200167016">
      <w:bodyDiv w:val="1"/>
      <w:marLeft w:val="0"/>
      <w:marRight w:val="0"/>
      <w:marTop w:val="0"/>
      <w:marBottom w:val="0"/>
      <w:divBdr>
        <w:top w:val="none" w:sz="0" w:space="0" w:color="auto"/>
        <w:left w:val="none" w:sz="0" w:space="0" w:color="auto"/>
        <w:bottom w:val="none" w:sz="0" w:space="0" w:color="auto"/>
        <w:right w:val="none" w:sz="0" w:space="0" w:color="auto"/>
      </w:divBdr>
    </w:div>
    <w:div w:id="230311598">
      <w:bodyDiv w:val="1"/>
      <w:marLeft w:val="0"/>
      <w:marRight w:val="0"/>
      <w:marTop w:val="0"/>
      <w:marBottom w:val="0"/>
      <w:divBdr>
        <w:top w:val="none" w:sz="0" w:space="0" w:color="auto"/>
        <w:left w:val="none" w:sz="0" w:space="0" w:color="auto"/>
        <w:bottom w:val="none" w:sz="0" w:space="0" w:color="auto"/>
        <w:right w:val="none" w:sz="0" w:space="0" w:color="auto"/>
      </w:divBdr>
    </w:div>
    <w:div w:id="246039988">
      <w:bodyDiv w:val="1"/>
      <w:marLeft w:val="0"/>
      <w:marRight w:val="0"/>
      <w:marTop w:val="0"/>
      <w:marBottom w:val="0"/>
      <w:divBdr>
        <w:top w:val="none" w:sz="0" w:space="0" w:color="auto"/>
        <w:left w:val="none" w:sz="0" w:space="0" w:color="auto"/>
        <w:bottom w:val="none" w:sz="0" w:space="0" w:color="auto"/>
        <w:right w:val="none" w:sz="0" w:space="0" w:color="auto"/>
      </w:divBdr>
    </w:div>
    <w:div w:id="253827323">
      <w:bodyDiv w:val="1"/>
      <w:marLeft w:val="0"/>
      <w:marRight w:val="0"/>
      <w:marTop w:val="0"/>
      <w:marBottom w:val="0"/>
      <w:divBdr>
        <w:top w:val="none" w:sz="0" w:space="0" w:color="auto"/>
        <w:left w:val="none" w:sz="0" w:space="0" w:color="auto"/>
        <w:bottom w:val="none" w:sz="0" w:space="0" w:color="auto"/>
        <w:right w:val="none" w:sz="0" w:space="0" w:color="auto"/>
      </w:divBdr>
    </w:div>
    <w:div w:id="273369653">
      <w:bodyDiv w:val="1"/>
      <w:marLeft w:val="0"/>
      <w:marRight w:val="0"/>
      <w:marTop w:val="0"/>
      <w:marBottom w:val="0"/>
      <w:divBdr>
        <w:top w:val="none" w:sz="0" w:space="0" w:color="auto"/>
        <w:left w:val="none" w:sz="0" w:space="0" w:color="auto"/>
        <w:bottom w:val="none" w:sz="0" w:space="0" w:color="auto"/>
        <w:right w:val="none" w:sz="0" w:space="0" w:color="auto"/>
      </w:divBdr>
      <w:divsChild>
        <w:div w:id="106389771">
          <w:marLeft w:val="547"/>
          <w:marRight w:val="0"/>
          <w:marTop w:val="0"/>
          <w:marBottom w:val="0"/>
          <w:divBdr>
            <w:top w:val="none" w:sz="0" w:space="0" w:color="auto"/>
            <w:left w:val="none" w:sz="0" w:space="0" w:color="auto"/>
            <w:bottom w:val="none" w:sz="0" w:space="0" w:color="auto"/>
            <w:right w:val="none" w:sz="0" w:space="0" w:color="auto"/>
          </w:divBdr>
        </w:div>
        <w:div w:id="1941180951">
          <w:marLeft w:val="547"/>
          <w:marRight w:val="0"/>
          <w:marTop w:val="0"/>
          <w:marBottom w:val="0"/>
          <w:divBdr>
            <w:top w:val="none" w:sz="0" w:space="0" w:color="auto"/>
            <w:left w:val="none" w:sz="0" w:space="0" w:color="auto"/>
            <w:bottom w:val="none" w:sz="0" w:space="0" w:color="auto"/>
            <w:right w:val="none" w:sz="0" w:space="0" w:color="auto"/>
          </w:divBdr>
        </w:div>
      </w:divsChild>
    </w:div>
    <w:div w:id="278225872">
      <w:bodyDiv w:val="1"/>
      <w:marLeft w:val="0"/>
      <w:marRight w:val="0"/>
      <w:marTop w:val="0"/>
      <w:marBottom w:val="0"/>
      <w:divBdr>
        <w:top w:val="none" w:sz="0" w:space="0" w:color="auto"/>
        <w:left w:val="none" w:sz="0" w:space="0" w:color="auto"/>
        <w:bottom w:val="none" w:sz="0" w:space="0" w:color="auto"/>
        <w:right w:val="none" w:sz="0" w:space="0" w:color="auto"/>
      </w:divBdr>
    </w:div>
    <w:div w:id="307132103">
      <w:bodyDiv w:val="1"/>
      <w:marLeft w:val="0"/>
      <w:marRight w:val="0"/>
      <w:marTop w:val="0"/>
      <w:marBottom w:val="0"/>
      <w:divBdr>
        <w:top w:val="none" w:sz="0" w:space="0" w:color="auto"/>
        <w:left w:val="none" w:sz="0" w:space="0" w:color="auto"/>
        <w:bottom w:val="none" w:sz="0" w:space="0" w:color="auto"/>
        <w:right w:val="none" w:sz="0" w:space="0" w:color="auto"/>
      </w:divBdr>
    </w:div>
    <w:div w:id="308822776">
      <w:bodyDiv w:val="1"/>
      <w:marLeft w:val="0"/>
      <w:marRight w:val="0"/>
      <w:marTop w:val="0"/>
      <w:marBottom w:val="0"/>
      <w:divBdr>
        <w:top w:val="none" w:sz="0" w:space="0" w:color="auto"/>
        <w:left w:val="none" w:sz="0" w:space="0" w:color="auto"/>
        <w:bottom w:val="none" w:sz="0" w:space="0" w:color="auto"/>
        <w:right w:val="none" w:sz="0" w:space="0" w:color="auto"/>
      </w:divBdr>
      <w:divsChild>
        <w:div w:id="165481904">
          <w:marLeft w:val="360"/>
          <w:marRight w:val="0"/>
          <w:marTop w:val="200"/>
          <w:marBottom w:val="0"/>
          <w:divBdr>
            <w:top w:val="none" w:sz="0" w:space="0" w:color="auto"/>
            <w:left w:val="none" w:sz="0" w:space="0" w:color="auto"/>
            <w:bottom w:val="none" w:sz="0" w:space="0" w:color="auto"/>
            <w:right w:val="none" w:sz="0" w:space="0" w:color="auto"/>
          </w:divBdr>
        </w:div>
        <w:div w:id="228541211">
          <w:marLeft w:val="360"/>
          <w:marRight w:val="0"/>
          <w:marTop w:val="200"/>
          <w:marBottom w:val="0"/>
          <w:divBdr>
            <w:top w:val="none" w:sz="0" w:space="0" w:color="auto"/>
            <w:left w:val="none" w:sz="0" w:space="0" w:color="auto"/>
            <w:bottom w:val="none" w:sz="0" w:space="0" w:color="auto"/>
            <w:right w:val="none" w:sz="0" w:space="0" w:color="auto"/>
          </w:divBdr>
        </w:div>
        <w:div w:id="868180779">
          <w:marLeft w:val="360"/>
          <w:marRight w:val="0"/>
          <w:marTop w:val="200"/>
          <w:marBottom w:val="0"/>
          <w:divBdr>
            <w:top w:val="none" w:sz="0" w:space="0" w:color="auto"/>
            <w:left w:val="none" w:sz="0" w:space="0" w:color="auto"/>
            <w:bottom w:val="none" w:sz="0" w:space="0" w:color="auto"/>
            <w:right w:val="none" w:sz="0" w:space="0" w:color="auto"/>
          </w:divBdr>
        </w:div>
        <w:div w:id="1036739265">
          <w:marLeft w:val="360"/>
          <w:marRight w:val="0"/>
          <w:marTop w:val="200"/>
          <w:marBottom w:val="0"/>
          <w:divBdr>
            <w:top w:val="none" w:sz="0" w:space="0" w:color="auto"/>
            <w:left w:val="none" w:sz="0" w:space="0" w:color="auto"/>
            <w:bottom w:val="none" w:sz="0" w:space="0" w:color="auto"/>
            <w:right w:val="none" w:sz="0" w:space="0" w:color="auto"/>
          </w:divBdr>
        </w:div>
        <w:div w:id="1480073933">
          <w:marLeft w:val="360"/>
          <w:marRight w:val="0"/>
          <w:marTop w:val="200"/>
          <w:marBottom w:val="0"/>
          <w:divBdr>
            <w:top w:val="none" w:sz="0" w:space="0" w:color="auto"/>
            <w:left w:val="none" w:sz="0" w:space="0" w:color="auto"/>
            <w:bottom w:val="none" w:sz="0" w:space="0" w:color="auto"/>
            <w:right w:val="none" w:sz="0" w:space="0" w:color="auto"/>
          </w:divBdr>
        </w:div>
        <w:div w:id="1936817114">
          <w:marLeft w:val="360"/>
          <w:marRight w:val="0"/>
          <w:marTop w:val="200"/>
          <w:marBottom w:val="0"/>
          <w:divBdr>
            <w:top w:val="none" w:sz="0" w:space="0" w:color="auto"/>
            <w:left w:val="none" w:sz="0" w:space="0" w:color="auto"/>
            <w:bottom w:val="none" w:sz="0" w:space="0" w:color="auto"/>
            <w:right w:val="none" w:sz="0" w:space="0" w:color="auto"/>
          </w:divBdr>
        </w:div>
        <w:div w:id="2031031701">
          <w:marLeft w:val="360"/>
          <w:marRight w:val="0"/>
          <w:marTop w:val="200"/>
          <w:marBottom w:val="0"/>
          <w:divBdr>
            <w:top w:val="none" w:sz="0" w:space="0" w:color="auto"/>
            <w:left w:val="none" w:sz="0" w:space="0" w:color="auto"/>
            <w:bottom w:val="none" w:sz="0" w:space="0" w:color="auto"/>
            <w:right w:val="none" w:sz="0" w:space="0" w:color="auto"/>
          </w:divBdr>
        </w:div>
        <w:div w:id="2092696909">
          <w:marLeft w:val="360"/>
          <w:marRight w:val="0"/>
          <w:marTop w:val="200"/>
          <w:marBottom w:val="0"/>
          <w:divBdr>
            <w:top w:val="none" w:sz="0" w:space="0" w:color="auto"/>
            <w:left w:val="none" w:sz="0" w:space="0" w:color="auto"/>
            <w:bottom w:val="none" w:sz="0" w:space="0" w:color="auto"/>
            <w:right w:val="none" w:sz="0" w:space="0" w:color="auto"/>
          </w:divBdr>
        </w:div>
        <w:div w:id="2115443818">
          <w:marLeft w:val="360"/>
          <w:marRight w:val="0"/>
          <w:marTop w:val="200"/>
          <w:marBottom w:val="0"/>
          <w:divBdr>
            <w:top w:val="none" w:sz="0" w:space="0" w:color="auto"/>
            <w:left w:val="none" w:sz="0" w:space="0" w:color="auto"/>
            <w:bottom w:val="none" w:sz="0" w:space="0" w:color="auto"/>
            <w:right w:val="none" w:sz="0" w:space="0" w:color="auto"/>
          </w:divBdr>
        </w:div>
      </w:divsChild>
    </w:div>
    <w:div w:id="323894043">
      <w:bodyDiv w:val="1"/>
      <w:marLeft w:val="0"/>
      <w:marRight w:val="0"/>
      <w:marTop w:val="0"/>
      <w:marBottom w:val="0"/>
      <w:divBdr>
        <w:top w:val="none" w:sz="0" w:space="0" w:color="auto"/>
        <w:left w:val="none" w:sz="0" w:space="0" w:color="auto"/>
        <w:bottom w:val="none" w:sz="0" w:space="0" w:color="auto"/>
        <w:right w:val="none" w:sz="0" w:space="0" w:color="auto"/>
      </w:divBdr>
      <w:divsChild>
        <w:div w:id="1443189399">
          <w:marLeft w:val="360"/>
          <w:marRight w:val="0"/>
          <w:marTop w:val="200"/>
          <w:marBottom w:val="0"/>
          <w:divBdr>
            <w:top w:val="none" w:sz="0" w:space="0" w:color="auto"/>
            <w:left w:val="none" w:sz="0" w:space="0" w:color="auto"/>
            <w:bottom w:val="none" w:sz="0" w:space="0" w:color="auto"/>
            <w:right w:val="none" w:sz="0" w:space="0" w:color="auto"/>
          </w:divBdr>
        </w:div>
      </w:divsChild>
    </w:div>
    <w:div w:id="331564854">
      <w:bodyDiv w:val="1"/>
      <w:marLeft w:val="0"/>
      <w:marRight w:val="0"/>
      <w:marTop w:val="0"/>
      <w:marBottom w:val="0"/>
      <w:divBdr>
        <w:top w:val="none" w:sz="0" w:space="0" w:color="auto"/>
        <w:left w:val="none" w:sz="0" w:space="0" w:color="auto"/>
        <w:bottom w:val="none" w:sz="0" w:space="0" w:color="auto"/>
        <w:right w:val="none" w:sz="0" w:space="0" w:color="auto"/>
      </w:divBdr>
    </w:div>
    <w:div w:id="338971337">
      <w:bodyDiv w:val="1"/>
      <w:marLeft w:val="0"/>
      <w:marRight w:val="0"/>
      <w:marTop w:val="0"/>
      <w:marBottom w:val="0"/>
      <w:divBdr>
        <w:top w:val="none" w:sz="0" w:space="0" w:color="auto"/>
        <w:left w:val="none" w:sz="0" w:space="0" w:color="auto"/>
        <w:bottom w:val="none" w:sz="0" w:space="0" w:color="auto"/>
        <w:right w:val="none" w:sz="0" w:space="0" w:color="auto"/>
      </w:divBdr>
      <w:divsChild>
        <w:div w:id="82655669">
          <w:marLeft w:val="360"/>
          <w:marRight w:val="0"/>
          <w:marTop w:val="200"/>
          <w:marBottom w:val="0"/>
          <w:divBdr>
            <w:top w:val="none" w:sz="0" w:space="0" w:color="auto"/>
            <w:left w:val="none" w:sz="0" w:space="0" w:color="auto"/>
            <w:bottom w:val="none" w:sz="0" w:space="0" w:color="auto"/>
            <w:right w:val="none" w:sz="0" w:space="0" w:color="auto"/>
          </w:divBdr>
        </w:div>
        <w:div w:id="341050002">
          <w:marLeft w:val="360"/>
          <w:marRight w:val="0"/>
          <w:marTop w:val="200"/>
          <w:marBottom w:val="0"/>
          <w:divBdr>
            <w:top w:val="none" w:sz="0" w:space="0" w:color="auto"/>
            <w:left w:val="none" w:sz="0" w:space="0" w:color="auto"/>
            <w:bottom w:val="none" w:sz="0" w:space="0" w:color="auto"/>
            <w:right w:val="none" w:sz="0" w:space="0" w:color="auto"/>
          </w:divBdr>
        </w:div>
        <w:div w:id="1089885892">
          <w:marLeft w:val="360"/>
          <w:marRight w:val="0"/>
          <w:marTop w:val="200"/>
          <w:marBottom w:val="0"/>
          <w:divBdr>
            <w:top w:val="none" w:sz="0" w:space="0" w:color="auto"/>
            <w:left w:val="none" w:sz="0" w:space="0" w:color="auto"/>
            <w:bottom w:val="none" w:sz="0" w:space="0" w:color="auto"/>
            <w:right w:val="none" w:sz="0" w:space="0" w:color="auto"/>
          </w:divBdr>
        </w:div>
        <w:div w:id="1807813663">
          <w:marLeft w:val="360"/>
          <w:marRight w:val="0"/>
          <w:marTop w:val="200"/>
          <w:marBottom w:val="0"/>
          <w:divBdr>
            <w:top w:val="none" w:sz="0" w:space="0" w:color="auto"/>
            <w:left w:val="none" w:sz="0" w:space="0" w:color="auto"/>
            <w:bottom w:val="none" w:sz="0" w:space="0" w:color="auto"/>
            <w:right w:val="none" w:sz="0" w:space="0" w:color="auto"/>
          </w:divBdr>
        </w:div>
      </w:divsChild>
    </w:div>
    <w:div w:id="405345593">
      <w:bodyDiv w:val="1"/>
      <w:marLeft w:val="0"/>
      <w:marRight w:val="0"/>
      <w:marTop w:val="0"/>
      <w:marBottom w:val="0"/>
      <w:divBdr>
        <w:top w:val="none" w:sz="0" w:space="0" w:color="auto"/>
        <w:left w:val="none" w:sz="0" w:space="0" w:color="auto"/>
        <w:bottom w:val="none" w:sz="0" w:space="0" w:color="auto"/>
        <w:right w:val="none" w:sz="0" w:space="0" w:color="auto"/>
      </w:divBdr>
    </w:div>
    <w:div w:id="421296122">
      <w:bodyDiv w:val="1"/>
      <w:marLeft w:val="0"/>
      <w:marRight w:val="0"/>
      <w:marTop w:val="0"/>
      <w:marBottom w:val="0"/>
      <w:divBdr>
        <w:top w:val="none" w:sz="0" w:space="0" w:color="auto"/>
        <w:left w:val="none" w:sz="0" w:space="0" w:color="auto"/>
        <w:bottom w:val="none" w:sz="0" w:space="0" w:color="auto"/>
        <w:right w:val="none" w:sz="0" w:space="0" w:color="auto"/>
      </w:divBdr>
      <w:divsChild>
        <w:div w:id="88964701">
          <w:marLeft w:val="360"/>
          <w:marRight w:val="0"/>
          <w:marTop w:val="200"/>
          <w:marBottom w:val="0"/>
          <w:divBdr>
            <w:top w:val="none" w:sz="0" w:space="0" w:color="auto"/>
            <w:left w:val="none" w:sz="0" w:space="0" w:color="auto"/>
            <w:bottom w:val="none" w:sz="0" w:space="0" w:color="auto"/>
            <w:right w:val="none" w:sz="0" w:space="0" w:color="auto"/>
          </w:divBdr>
        </w:div>
        <w:div w:id="1197616472">
          <w:marLeft w:val="360"/>
          <w:marRight w:val="0"/>
          <w:marTop w:val="200"/>
          <w:marBottom w:val="0"/>
          <w:divBdr>
            <w:top w:val="none" w:sz="0" w:space="0" w:color="auto"/>
            <w:left w:val="none" w:sz="0" w:space="0" w:color="auto"/>
            <w:bottom w:val="none" w:sz="0" w:space="0" w:color="auto"/>
            <w:right w:val="none" w:sz="0" w:space="0" w:color="auto"/>
          </w:divBdr>
        </w:div>
        <w:div w:id="1361513350">
          <w:marLeft w:val="360"/>
          <w:marRight w:val="0"/>
          <w:marTop w:val="200"/>
          <w:marBottom w:val="0"/>
          <w:divBdr>
            <w:top w:val="none" w:sz="0" w:space="0" w:color="auto"/>
            <w:left w:val="none" w:sz="0" w:space="0" w:color="auto"/>
            <w:bottom w:val="none" w:sz="0" w:space="0" w:color="auto"/>
            <w:right w:val="none" w:sz="0" w:space="0" w:color="auto"/>
          </w:divBdr>
        </w:div>
        <w:div w:id="1675914475">
          <w:marLeft w:val="360"/>
          <w:marRight w:val="0"/>
          <w:marTop w:val="200"/>
          <w:marBottom w:val="0"/>
          <w:divBdr>
            <w:top w:val="none" w:sz="0" w:space="0" w:color="auto"/>
            <w:left w:val="none" w:sz="0" w:space="0" w:color="auto"/>
            <w:bottom w:val="none" w:sz="0" w:space="0" w:color="auto"/>
            <w:right w:val="none" w:sz="0" w:space="0" w:color="auto"/>
          </w:divBdr>
        </w:div>
        <w:div w:id="2128810389">
          <w:marLeft w:val="360"/>
          <w:marRight w:val="0"/>
          <w:marTop w:val="200"/>
          <w:marBottom w:val="0"/>
          <w:divBdr>
            <w:top w:val="none" w:sz="0" w:space="0" w:color="auto"/>
            <w:left w:val="none" w:sz="0" w:space="0" w:color="auto"/>
            <w:bottom w:val="none" w:sz="0" w:space="0" w:color="auto"/>
            <w:right w:val="none" w:sz="0" w:space="0" w:color="auto"/>
          </w:divBdr>
        </w:div>
      </w:divsChild>
    </w:div>
    <w:div w:id="448427191">
      <w:bodyDiv w:val="1"/>
      <w:marLeft w:val="0"/>
      <w:marRight w:val="0"/>
      <w:marTop w:val="0"/>
      <w:marBottom w:val="0"/>
      <w:divBdr>
        <w:top w:val="none" w:sz="0" w:space="0" w:color="auto"/>
        <w:left w:val="none" w:sz="0" w:space="0" w:color="auto"/>
        <w:bottom w:val="none" w:sz="0" w:space="0" w:color="auto"/>
        <w:right w:val="none" w:sz="0" w:space="0" w:color="auto"/>
      </w:divBdr>
    </w:div>
    <w:div w:id="453640385">
      <w:bodyDiv w:val="1"/>
      <w:marLeft w:val="0"/>
      <w:marRight w:val="0"/>
      <w:marTop w:val="0"/>
      <w:marBottom w:val="0"/>
      <w:divBdr>
        <w:top w:val="none" w:sz="0" w:space="0" w:color="auto"/>
        <w:left w:val="none" w:sz="0" w:space="0" w:color="auto"/>
        <w:bottom w:val="none" w:sz="0" w:space="0" w:color="auto"/>
        <w:right w:val="none" w:sz="0" w:space="0" w:color="auto"/>
      </w:divBdr>
    </w:div>
    <w:div w:id="461995588">
      <w:bodyDiv w:val="1"/>
      <w:marLeft w:val="0"/>
      <w:marRight w:val="0"/>
      <w:marTop w:val="0"/>
      <w:marBottom w:val="0"/>
      <w:divBdr>
        <w:top w:val="none" w:sz="0" w:space="0" w:color="auto"/>
        <w:left w:val="none" w:sz="0" w:space="0" w:color="auto"/>
        <w:bottom w:val="none" w:sz="0" w:space="0" w:color="auto"/>
        <w:right w:val="none" w:sz="0" w:space="0" w:color="auto"/>
      </w:divBdr>
      <w:divsChild>
        <w:div w:id="663240028">
          <w:marLeft w:val="0"/>
          <w:marRight w:val="0"/>
          <w:marTop w:val="0"/>
          <w:marBottom w:val="0"/>
          <w:divBdr>
            <w:top w:val="none" w:sz="0" w:space="0" w:color="auto"/>
            <w:left w:val="none" w:sz="0" w:space="0" w:color="auto"/>
            <w:bottom w:val="none" w:sz="0" w:space="0" w:color="auto"/>
            <w:right w:val="none" w:sz="0" w:space="0" w:color="auto"/>
          </w:divBdr>
        </w:div>
      </w:divsChild>
    </w:div>
    <w:div w:id="482311338">
      <w:bodyDiv w:val="1"/>
      <w:marLeft w:val="0"/>
      <w:marRight w:val="0"/>
      <w:marTop w:val="0"/>
      <w:marBottom w:val="0"/>
      <w:divBdr>
        <w:top w:val="none" w:sz="0" w:space="0" w:color="auto"/>
        <w:left w:val="none" w:sz="0" w:space="0" w:color="auto"/>
        <w:bottom w:val="none" w:sz="0" w:space="0" w:color="auto"/>
        <w:right w:val="none" w:sz="0" w:space="0" w:color="auto"/>
      </w:divBdr>
      <w:divsChild>
        <w:div w:id="52196499">
          <w:marLeft w:val="0"/>
          <w:marRight w:val="0"/>
          <w:marTop w:val="0"/>
          <w:marBottom w:val="0"/>
          <w:divBdr>
            <w:top w:val="none" w:sz="0" w:space="0" w:color="auto"/>
            <w:left w:val="none" w:sz="0" w:space="0" w:color="auto"/>
            <w:bottom w:val="none" w:sz="0" w:space="0" w:color="auto"/>
            <w:right w:val="none" w:sz="0" w:space="0" w:color="auto"/>
          </w:divBdr>
        </w:div>
        <w:div w:id="57218209">
          <w:marLeft w:val="0"/>
          <w:marRight w:val="0"/>
          <w:marTop w:val="0"/>
          <w:marBottom w:val="0"/>
          <w:divBdr>
            <w:top w:val="none" w:sz="0" w:space="0" w:color="auto"/>
            <w:left w:val="none" w:sz="0" w:space="0" w:color="auto"/>
            <w:bottom w:val="none" w:sz="0" w:space="0" w:color="auto"/>
            <w:right w:val="none" w:sz="0" w:space="0" w:color="auto"/>
          </w:divBdr>
        </w:div>
        <w:div w:id="75250840">
          <w:marLeft w:val="0"/>
          <w:marRight w:val="0"/>
          <w:marTop w:val="0"/>
          <w:marBottom w:val="0"/>
          <w:divBdr>
            <w:top w:val="none" w:sz="0" w:space="0" w:color="auto"/>
            <w:left w:val="none" w:sz="0" w:space="0" w:color="auto"/>
            <w:bottom w:val="none" w:sz="0" w:space="0" w:color="auto"/>
            <w:right w:val="none" w:sz="0" w:space="0" w:color="auto"/>
          </w:divBdr>
        </w:div>
        <w:div w:id="102195259">
          <w:marLeft w:val="0"/>
          <w:marRight w:val="0"/>
          <w:marTop w:val="0"/>
          <w:marBottom w:val="0"/>
          <w:divBdr>
            <w:top w:val="none" w:sz="0" w:space="0" w:color="auto"/>
            <w:left w:val="none" w:sz="0" w:space="0" w:color="auto"/>
            <w:bottom w:val="none" w:sz="0" w:space="0" w:color="auto"/>
            <w:right w:val="none" w:sz="0" w:space="0" w:color="auto"/>
          </w:divBdr>
        </w:div>
        <w:div w:id="203372419">
          <w:marLeft w:val="0"/>
          <w:marRight w:val="0"/>
          <w:marTop w:val="0"/>
          <w:marBottom w:val="0"/>
          <w:divBdr>
            <w:top w:val="none" w:sz="0" w:space="0" w:color="auto"/>
            <w:left w:val="none" w:sz="0" w:space="0" w:color="auto"/>
            <w:bottom w:val="none" w:sz="0" w:space="0" w:color="auto"/>
            <w:right w:val="none" w:sz="0" w:space="0" w:color="auto"/>
          </w:divBdr>
        </w:div>
        <w:div w:id="205458294">
          <w:marLeft w:val="0"/>
          <w:marRight w:val="0"/>
          <w:marTop w:val="0"/>
          <w:marBottom w:val="0"/>
          <w:divBdr>
            <w:top w:val="none" w:sz="0" w:space="0" w:color="auto"/>
            <w:left w:val="none" w:sz="0" w:space="0" w:color="auto"/>
            <w:bottom w:val="none" w:sz="0" w:space="0" w:color="auto"/>
            <w:right w:val="none" w:sz="0" w:space="0" w:color="auto"/>
          </w:divBdr>
        </w:div>
        <w:div w:id="222913144">
          <w:marLeft w:val="0"/>
          <w:marRight w:val="0"/>
          <w:marTop w:val="0"/>
          <w:marBottom w:val="0"/>
          <w:divBdr>
            <w:top w:val="none" w:sz="0" w:space="0" w:color="auto"/>
            <w:left w:val="none" w:sz="0" w:space="0" w:color="auto"/>
            <w:bottom w:val="none" w:sz="0" w:space="0" w:color="auto"/>
            <w:right w:val="none" w:sz="0" w:space="0" w:color="auto"/>
          </w:divBdr>
        </w:div>
        <w:div w:id="243608542">
          <w:marLeft w:val="0"/>
          <w:marRight w:val="0"/>
          <w:marTop w:val="0"/>
          <w:marBottom w:val="0"/>
          <w:divBdr>
            <w:top w:val="none" w:sz="0" w:space="0" w:color="auto"/>
            <w:left w:val="none" w:sz="0" w:space="0" w:color="auto"/>
            <w:bottom w:val="none" w:sz="0" w:space="0" w:color="auto"/>
            <w:right w:val="none" w:sz="0" w:space="0" w:color="auto"/>
          </w:divBdr>
        </w:div>
        <w:div w:id="266811520">
          <w:marLeft w:val="0"/>
          <w:marRight w:val="0"/>
          <w:marTop w:val="0"/>
          <w:marBottom w:val="0"/>
          <w:divBdr>
            <w:top w:val="none" w:sz="0" w:space="0" w:color="auto"/>
            <w:left w:val="none" w:sz="0" w:space="0" w:color="auto"/>
            <w:bottom w:val="none" w:sz="0" w:space="0" w:color="auto"/>
            <w:right w:val="none" w:sz="0" w:space="0" w:color="auto"/>
          </w:divBdr>
        </w:div>
        <w:div w:id="294256994">
          <w:marLeft w:val="0"/>
          <w:marRight w:val="0"/>
          <w:marTop w:val="0"/>
          <w:marBottom w:val="0"/>
          <w:divBdr>
            <w:top w:val="none" w:sz="0" w:space="0" w:color="auto"/>
            <w:left w:val="none" w:sz="0" w:space="0" w:color="auto"/>
            <w:bottom w:val="none" w:sz="0" w:space="0" w:color="auto"/>
            <w:right w:val="none" w:sz="0" w:space="0" w:color="auto"/>
          </w:divBdr>
        </w:div>
        <w:div w:id="317341738">
          <w:marLeft w:val="0"/>
          <w:marRight w:val="0"/>
          <w:marTop w:val="0"/>
          <w:marBottom w:val="0"/>
          <w:divBdr>
            <w:top w:val="none" w:sz="0" w:space="0" w:color="auto"/>
            <w:left w:val="none" w:sz="0" w:space="0" w:color="auto"/>
            <w:bottom w:val="none" w:sz="0" w:space="0" w:color="auto"/>
            <w:right w:val="none" w:sz="0" w:space="0" w:color="auto"/>
          </w:divBdr>
        </w:div>
        <w:div w:id="383065398">
          <w:marLeft w:val="0"/>
          <w:marRight w:val="0"/>
          <w:marTop w:val="0"/>
          <w:marBottom w:val="0"/>
          <w:divBdr>
            <w:top w:val="none" w:sz="0" w:space="0" w:color="auto"/>
            <w:left w:val="none" w:sz="0" w:space="0" w:color="auto"/>
            <w:bottom w:val="none" w:sz="0" w:space="0" w:color="auto"/>
            <w:right w:val="none" w:sz="0" w:space="0" w:color="auto"/>
          </w:divBdr>
        </w:div>
        <w:div w:id="502168324">
          <w:marLeft w:val="0"/>
          <w:marRight w:val="0"/>
          <w:marTop w:val="0"/>
          <w:marBottom w:val="0"/>
          <w:divBdr>
            <w:top w:val="none" w:sz="0" w:space="0" w:color="auto"/>
            <w:left w:val="none" w:sz="0" w:space="0" w:color="auto"/>
            <w:bottom w:val="none" w:sz="0" w:space="0" w:color="auto"/>
            <w:right w:val="none" w:sz="0" w:space="0" w:color="auto"/>
          </w:divBdr>
        </w:div>
        <w:div w:id="575632387">
          <w:marLeft w:val="0"/>
          <w:marRight w:val="0"/>
          <w:marTop w:val="0"/>
          <w:marBottom w:val="0"/>
          <w:divBdr>
            <w:top w:val="none" w:sz="0" w:space="0" w:color="auto"/>
            <w:left w:val="none" w:sz="0" w:space="0" w:color="auto"/>
            <w:bottom w:val="none" w:sz="0" w:space="0" w:color="auto"/>
            <w:right w:val="none" w:sz="0" w:space="0" w:color="auto"/>
          </w:divBdr>
        </w:div>
        <w:div w:id="579212925">
          <w:marLeft w:val="0"/>
          <w:marRight w:val="0"/>
          <w:marTop w:val="0"/>
          <w:marBottom w:val="0"/>
          <w:divBdr>
            <w:top w:val="none" w:sz="0" w:space="0" w:color="auto"/>
            <w:left w:val="none" w:sz="0" w:space="0" w:color="auto"/>
            <w:bottom w:val="none" w:sz="0" w:space="0" w:color="auto"/>
            <w:right w:val="none" w:sz="0" w:space="0" w:color="auto"/>
          </w:divBdr>
        </w:div>
        <w:div w:id="589244044">
          <w:marLeft w:val="0"/>
          <w:marRight w:val="0"/>
          <w:marTop w:val="0"/>
          <w:marBottom w:val="0"/>
          <w:divBdr>
            <w:top w:val="none" w:sz="0" w:space="0" w:color="auto"/>
            <w:left w:val="none" w:sz="0" w:space="0" w:color="auto"/>
            <w:bottom w:val="none" w:sz="0" w:space="0" w:color="auto"/>
            <w:right w:val="none" w:sz="0" w:space="0" w:color="auto"/>
          </w:divBdr>
        </w:div>
        <w:div w:id="608126905">
          <w:marLeft w:val="0"/>
          <w:marRight w:val="0"/>
          <w:marTop w:val="0"/>
          <w:marBottom w:val="0"/>
          <w:divBdr>
            <w:top w:val="none" w:sz="0" w:space="0" w:color="auto"/>
            <w:left w:val="none" w:sz="0" w:space="0" w:color="auto"/>
            <w:bottom w:val="none" w:sz="0" w:space="0" w:color="auto"/>
            <w:right w:val="none" w:sz="0" w:space="0" w:color="auto"/>
          </w:divBdr>
        </w:div>
        <w:div w:id="618293493">
          <w:marLeft w:val="0"/>
          <w:marRight w:val="0"/>
          <w:marTop w:val="0"/>
          <w:marBottom w:val="0"/>
          <w:divBdr>
            <w:top w:val="none" w:sz="0" w:space="0" w:color="auto"/>
            <w:left w:val="none" w:sz="0" w:space="0" w:color="auto"/>
            <w:bottom w:val="none" w:sz="0" w:space="0" w:color="auto"/>
            <w:right w:val="none" w:sz="0" w:space="0" w:color="auto"/>
          </w:divBdr>
        </w:div>
        <w:div w:id="680935505">
          <w:marLeft w:val="0"/>
          <w:marRight w:val="0"/>
          <w:marTop w:val="0"/>
          <w:marBottom w:val="0"/>
          <w:divBdr>
            <w:top w:val="none" w:sz="0" w:space="0" w:color="auto"/>
            <w:left w:val="none" w:sz="0" w:space="0" w:color="auto"/>
            <w:bottom w:val="none" w:sz="0" w:space="0" w:color="auto"/>
            <w:right w:val="none" w:sz="0" w:space="0" w:color="auto"/>
          </w:divBdr>
        </w:div>
        <w:div w:id="685519394">
          <w:marLeft w:val="0"/>
          <w:marRight w:val="0"/>
          <w:marTop w:val="0"/>
          <w:marBottom w:val="0"/>
          <w:divBdr>
            <w:top w:val="none" w:sz="0" w:space="0" w:color="auto"/>
            <w:left w:val="none" w:sz="0" w:space="0" w:color="auto"/>
            <w:bottom w:val="none" w:sz="0" w:space="0" w:color="auto"/>
            <w:right w:val="none" w:sz="0" w:space="0" w:color="auto"/>
          </w:divBdr>
        </w:div>
        <w:div w:id="689717024">
          <w:marLeft w:val="0"/>
          <w:marRight w:val="0"/>
          <w:marTop w:val="0"/>
          <w:marBottom w:val="0"/>
          <w:divBdr>
            <w:top w:val="none" w:sz="0" w:space="0" w:color="auto"/>
            <w:left w:val="none" w:sz="0" w:space="0" w:color="auto"/>
            <w:bottom w:val="none" w:sz="0" w:space="0" w:color="auto"/>
            <w:right w:val="none" w:sz="0" w:space="0" w:color="auto"/>
          </w:divBdr>
        </w:div>
        <w:div w:id="758598625">
          <w:marLeft w:val="0"/>
          <w:marRight w:val="0"/>
          <w:marTop w:val="0"/>
          <w:marBottom w:val="0"/>
          <w:divBdr>
            <w:top w:val="none" w:sz="0" w:space="0" w:color="auto"/>
            <w:left w:val="none" w:sz="0" w:space="0" w:color="auto"/>
            <w:bottom w:val="none" w:sz="0" w:space="0" w:color="auto"/>
            <w:right w:val="none" w:sz="0" w:space="0" w:color="auto"/>
          </w:divBdr>
        </w:div>
        <w:div w:id="772476285">
          <w:marLeft w:val="0"/>
          <w:marRight w:val="0"/>
          <w:marTop w:val="0"/>
          <w:marBottom w:val="0"/>
          <w:divBdr>
            <w:top w:val="none" w:sz="0" w:space="0" w:color="auto"/>
            <w:left w:val="none" w:sz="0" w:space="0" w:color="auto"/>
            <w:bottom w:val="none" w:sz="0" w:space="0" w:color="auto"/>
            <w:right w:val="none" w:sz="0" w:space="0" w:color="auto"/>
          </w:divBdr>
        </w:div>
        <w:div w:id="788084998">
          <w:marLeft w:val="0"/>
          <w:marRight w:val="0"/>
          <w:marTop w:val="0"/>
          <w:marBottom w:val="0"/>
          <w:divBdr>
            <w:top w:val="none" w:sz="0" w:space="0" w:color="auto"/>
            <w:left w:val="none" w:sz="0" w:space="0" w:color="auto"/>
            <w:bottom w:val="none" w:sz="0" w:space="0" w:color="auto"/>
            <w:right w:val="none" w:sz="0" w:space="0" w:color="auto"/>
          </w:divBdr>
        </w:div>
        <w:div w:id="798769942">
          <w:marLeft w:val="0"/>
          <w:marRight w:val="0"/>
          <w:marTop w:val="0"/>
          <w:marBottom w:val="0"/>
          <w:divBdr>
            <w:top w:val="none" w:sz="0" w:space="0" w:color="auto"/>
            <w:left w:val="none" w:sz="0" w:space="0" w:color="auto"/>
            <w:bottom w:val="none" w:sz="0" w:space="0" w:color="auto"/>
            <w:right w:val="none" w:sz="0" w:space="0" w:color="auto"/>
          </w:divBdr>
        </w:div>
        <w:div w:id="813332156">
          <w:marLeft w:val="0"/>
          <w:marRight w:val="0"/>
          <w:marTop w:val="0"/>
          <w:marBottom w:val="0"/>
          <w:divBdr>
            <w:top w:val="none" w:sz="0" w:space="0" w:color="auto"/>
            <w:left w:val="none" w:sz="0" w:space="0" w:color="auto"/>
            <w:bottom w:val="none" w:sz="0" w:space="0" w:color="auto"/>
            <w:right w:val="none" w:sz="0" w:space="0" w:color="auto"/>
          </w:divBdr>
        </w:div>
        <w:div w:id="819006573">
          <w:marLeft w:val="0"/>
          <w:marRight w:val="0"/>
          <w:marTop w:val="0"/>
          <w:marBottom w:val="0"/>
          <w:divBdr>
            <w:top w:val="none" w:sz="0" w:space="0" w:color="auto"/>
            <w:left w:val="none" w:sz="0" w:space="0" w:color="auto"/>
            <w:bottom w:val="none" w:sz="0" w:space="0" w:color="auto"/>
            <w:right w:val="none" w:sz="0" w:space="0" w:color="auto"/>
          </w:divBdr>
        </w:div>
        <w:div w:id="826358297">
          <w:marLeft w:val="0"/>
          <w:marRight w:val="0"/>
          <w:marTop w:val="0"/>
          <w:marBottom w:val="0"/>
          <w:divBdr>
            <w:top w:val="none" w:sz="0" w:space="0" w:color="auto"/>
            <w:left w:val="none" w:sz="0" w:space="0" w:color="auto"/>
            <w:bottom w:val="none" w:sz="0" w:space="0" w:color="auto"/>
            <w:right w:val="none" w:sz="0" w:space="0" w:color="auto"/>
          </w:divBdr>
        </w:div>
        <w:div w:id="845442622">
          <w:marLeft w:val="0"/>
          <w:marRight w:val="0"/>
          <w:marTop w:val="0"/>
          <w:marBottom w:val="0"/>
          <w:divBdr>
            <w:top w:val="none" w:sz="0" w:space="0" w:color="auto"/>
            <w:left w:val="none" w:sz="0" w:space="0" w:color="auto"/>
            <w:bottom w:val="none" w:sz="0" w:space="0" w:color="auto"/>
            <w:right w:val="none" w:sz="0" w:space="0" w:color="auto"/>
          </w:divBdr>
        </w:div>
        <w:div w:id="927882133">
          <w:marLeft w:val="0"/>
          <w:marRight w:val="0"/>
          <w:marTop w:val="0"/>
          <w:marBottom w:val="0"/>
          <w:divBdr>
            <w:top w:val="none" w:sz="0" w:space="0" w:color="auto"/>
            <w:left w:val="none" w:sz="0" w:space="0" w:color="auto"/>
            <w:bottom w:val="none" w:sz="0" w:space="0" w:color="auto"/>
            <w:right w:val="none" w:sz="0" w:space="0" w:color="auto"/>
          </w:divBdr>
        </w:div>
        <w:div w:id="967206678">
          <w:marLeft w:val="0"/>
          <w:marRight w:val="0"/>
          <w:marTop w:val="0"/>
          <w:marBottom w:val="0"/>
          <w:divBdr>
            <w:top w:val="none" w:sz="0" w:space="0" w:color="auto"/>
            <w:left w:val="none" w:sz="0" w:space="0" w:color="auto"/>
            <w:bottom w:val="none" w:sz="0" w:space="0" w:color="auto"/>
            <w:right w:val="none" w:sz="0" w:space="0" w:color="auto"/>
          </w:divBdr>
        </w:div>
        <w:div w:id="973488707">
          <w:marLeft w:val="0"/>
          <w:marRight w:val="0"/>
          <w:marTop w:val="0"/>
          <w:marBottom w:val="0"/>
          <w:divBdr>
            <w:top w:val="none" w:sz="0" w:space="0" w:color="auto"/>
            <w:left w:val="none" w:sz="0" w:space="0" w:color="auto"/>
            <w:bottom w:val="none" w:sz="0" w:space="0" w:color="auto"/>
            <w:right w:val="none" w:sz="0" w:space="0" w:color="auto"/>
          </w:divBdr>
        </w:div>
        <w:div w:id="1035080338">
          <w:marLeft w:val="0"/>
          <w:marRight w:val="0"/>
          <w:marTop w:val="0"/>
          <w:marBottom w:val="0"/>
          <w:divBdr>
            <w:top w:val="none" w:sz="0" w:space="0" w:color="auto"/>
            <w:left w:val="none" w:sz="0" w:space="0" w:color="auto"/>
            <w:bottom w:val="none" w:sz="0" w:space="0" w:color="auto"/>
            <w:right w:val="none" w:sz="0" w:space="0" w:color="auto"/>
          </w:divBdr>
        </w:div>
        <w:div w:id="1044792112">
          <w:marLeft w:val="0"/>
          <w:marRight w:val="0"/>
          <w:marTop w:val="0"/>
          <w:marBottom w:val="0"/>
          <w:divBdr>
            <w:top w:val="none" w:sz="0" w:space="0" w:color="auto"/>
            <w:left w:val="none" w:sz="0" w:space="0" w:color="auto"/>
            <w:bottom w:val="none" w:sz="0" w:space="0" w:color="auto"/>
            <w:right w:val="none" w:sz="0" w:space="0" w:color="auto"/>
          </w:divBdr>
        </w:div>
        <w:div w:id="1053163523">
          <w:marLeft w:val="0"/>
          <w:marRight w:val="0"/>
          <w:marTop w:val="0"/>
          <w:marBottom w:val="0"/>
          <w:divBdr>
            <w:top w:val="none" w:sz="0" w:space="0" w:color="auto"/>
            <w:left w:val="none" w:sz="0" w:space="0" w:color="auto"/>
            <w:bottom w:val="none" w:sz="0" w:space="0" w:color="auto"/>
            <w:right w:val="none" w:sz="0" w:space="0" w:color="auto"/>
          </w:divBdr>
        </w:div>
        <w:div w:id="1070998923">
          <w:marLeft w:val="0"/>
          <w:marRight w:val="0"/>
          <w:marTop w:val="0"/>
          <w:marBottom w:val="0"/>
          <w:divBdr>
            <w:top w:val="none" w:sz="0" w:space="0" w:color="auto"/>
            <w:left w:val="none" w:sz="0" w:space="0" w:color="auto"/>
            <w:bottom w:val="none" w:sz="0" w:space="0" w:color="auto"/>
            <w:right w:val="none" w:sz="0" w:space="0" w:color="auto"/>
          </w:divBdr>
        </w:div>
        <w:div w:id="1073818106">
          <w:marLeft w:val="0"/>
          <w:marRight w:val="0"/>
          <w:marTop w:val="0"/>
          <w:marBottom w:val="0"/>
          <w:divBdr>
            <w:top w:val="none" w:sz="0" w:space="0" w:color="auto"/>
            <w:left w:val="none" w:sz="0" w:space="0" w:color="auto"/>
            <w:bottom w:val="none" w:sz="0" w:space="0" w:color="auto"/>
            <w:right w:val="none" w:sz="0" w:space="0" w:color="auto"/>
          </w:divBdr>
        </w:div>
        <w:div w:id="1099369174">
          <w:marLeft w:val="0"/>
          <w:marRight w:val="0"/>
          <w:marTop w:val="0"/>
          <w:marBottom w:val="0"/>
          <w:divBdr>
            <w:top w:val="none" w:sz="0" w:space="0" w:color="auto"/>
            <w:left w:val="none" w:sz="0" w:space="0" w:color="auto"/>
            <w:bottom w:val="none" w:sz="0" w:space="0" w:color="auto"/>
            <w:right w:val="none" w:sz="0" w:space="0" w:color="auto"/>
          </w:divBdr>
        </w:div>
        <w:div w:id="1102148996">
          <w:marLeft w:val="0"/>
          <w:marRight w:val="0"/>
          <w:marTop w:val="0"/>
          <w:marBottom w:val="0"/>
          <w:divBdr>
            <w:top w:val="none" w:sz="0" w:space="0" w:color="auto"/>
            <w:left w:val="none" w:sz="0" w:space="0" w:color="auto"/>
            <w:bottom w:val="none" w:sz="0" w:space="0" w:color="auto"/>
            <w:right w:val="none" w:sz="0" w:space="0" w:color="auto"/>
          </w:divBdr>
        </w:div>
        <w:div w:id="1135412315">
          <w:marLeft w:val="0"/>
          <w:marRight w:val="0"/>
          <w:marTop w:val="0"/>
          <w:marBottom w:val="0"/>
          <w:divBdr>
            <w:top w:val="none" w:sz="0" w:space="0" w:color="auto"/>
            <w:left w:val="none" w:sz="0" w:space="0" w:color="auto"/>
            <w:bottom w:val="none" w:sz="0" w:space="0" w:color="auto"/>
            <w:right w:val="none" w:sz="0" w:space="0" w:color="auto"/>
          </w:divBdr>
        </w:div>
        <w:div w:id="1154024540">
          <w:marLeft w:val="0"/>
          <w:marRight w:val="0"/>
          <w:marTop w:val="0"/>
          <w:marBottom w:val="0"/>
          <w:divBdr>
            <w:top w:val="none" w:sz="0" w:space="0" w:color="auto"/>
            <w:left w:val="none" w:sz="0" w:space="0" w:color="auto"/>
            <w:bottom w:val="none" w:sz="0" w:space="0" w:color="auto"/>
            <w:right w:val="none" w:sz="0" w:space="0" w:color="auto"/>
          </w:divBdr>
        </w:div>
        <w:div w:id="1165701963">
          <w:marLeft w:val="0"/>
          <w:marRight w:val="0"/>
          <w:marTop w:val="0"/>
          <w:marBottom w:val="0"/>
          <w:divBdr>
            <w:top w:val="none" w:sz="0" w:space="0" w:color="auto"/>
            <w:left w:val="none" w:sz="0" w:space="0" w:color="auto"/>
            <w:bottom w:val="none" w:sz="0" w:space="0" w:color="auto"/>
            <w:right w:val="none" w:sz="0" w:space="0" w:color="auto"/>
          </w:divBdr>
        </w:div>
        <w:div w:id="1268662868">
          <w:marLeft w:val="0"/>
          <w:marRight w:val="0"/>
          <w:marTop w:val="0"/>
          <w:marBottom w:val="0"/>
          <w:divBdr>
            <w:top w:val="none" w:sz="0" w:space="0" w:color="auto"/>
            <w:left w:val="none" w:sz="0" w:space="0" w:color="auto"/>
            <w:bottom w:val="none" w:sz="0" w:space="0" w:color="auto"/>
            <w:right w:val="none" w:sz="0" w:space="0" w:color="auto"/>
          </w:divBdr>
        </w:div>
        <w:div w:id="1300067486">
          <w:marLeft w:val="0"/>
          <w:marRight w:val="0"/>
          <w:marTop w:val="0"/>
          <w:marBottom w:val="0"/>
          <w:divBdr>
            <w:top w:val="none" w:sz="0" w:space="0" w:color="auto"/>
            <w:left w:val="none" w:sz="0" w:space="0" w:color="auto"/>
            <w:bottom w:val="none" w:sz="0" w:space="0" w:color="auto"/>
            <w:right w:val="none" w:sz="0" w:space="0" w:color="auto"/>
          </w:divBdr>
        </w:div>
        <w:div w:id="1396121922">
          <w:marLeft w:val="0"/>
          <w:marRight w:val="0"/>
          <w:marTop w:val="0"/>
          <w:marBottom w:val="0"/>
          <w:divBdr>
            <w:top w:val="none" w:sz="0" w:space="0" w:color="auto"/>
            <w:left w:val="none" w:sz="0" w:space="0" w:color="auto"/>
            <w:bottom w:val="none" w:sz="0" w:space="0" w:color="auto"/>
            <w:right w:val="none" w:sz="0" w:space="0" w:color="auto"/>
          </w:divBdr>
        </w:div>
        <w:div w:id="1413161695">
          <w:marLeft w:val="0"/>
          <w:marRight w:val="0"/>
          <w:marTop w:val="0"/>
          <w:marBottom w:val="0"/>
          <w:divBdr>
            <w:top w:val="none" w:sz="0" w:space="0" w:color="auto"/>
            <w:left w:val="none" w:sz="0" w:space="0" w:color="auto"/>
            <w:bottom w:val="none" w:sz="0" w:space="0" w:color="auto"/>
            <w:right w:val="none" w:sz="0" w:space="0" w:color="auto"/>
          </w:divBdr>
        </w:div>
        <w:div w:id="1440028558">
          <w:marLeft w:val="0"/>
          <w:marRight w:val="0"/>
          <w:marTop w:val="0"/>
          <w:marBottom w:val="0"/>
          <w:divBdr>
            <w:top w:val="none" w:sz="0" w:space="0" w:color="auto"/>
            <w:left w:val="none" w:sz="0" w:space="0" w:color="auto"/>
            <w:bottom w:val="none" w:sz="0" w:space="0" w:color="auto"/>
            <w:right w:val="none" w:sz="0" w:space="0" w:color="auto"/>
          </w:divBdr>
        </w:div>
        <w:div w:id="1450928280">
          <w:marLeft w:val="0"/>
          <w:marRight w:val="0"/>
          <w:marTop w:val="0"/>
          <w:marBottom w:val="0"/>
          <w:divBdr>
            <w:top w:val="none" w:sz="0" w:space="0" w:color="auto"/>
            <w:left w:val="none" w:sz="0" w:space="0" w:color="auto"/>
            <w:bottom w:val="none" w:sz="0" w:space="0" w:color="auto"/>
            <w:right w:val="none" w:sz="0" w:space="0" w:color="auto"/>
          </w:divBdr>
        </w:div>
        <w:div w:id="1458639264">
          <w:marLeft w:val="0"/>
          <w:marRight w:val="0"/>
          <w:marTop w:val="0"/>
          <w:marBottom w:val="0"/>
          <w:divBdr>
            <w:top w:val="none" w:sz="0" w:space="0" w:color="auto"/>
            <w:left w:val="none" w:sz="0" w:space="0" w:color="auto"/>
            <w:bottom w:val="none" w:sz="0" w:space="0" w:color="auto"/>
            <w:right w:val="none" w:sz="0" w:space="0" w:color="auto"/>
          </w:divBdr>
        </w:div>
        <w:div w:id="1487670969">
          <w:marLeft w:val="0"/>
          <w:marRight w:val="0"/>
          <w:marTop w:val="0"/>
          <w:marBottom w:val="0"/>
          <w:divBdr>
            <w:top w:val="none" w:sz="0" w:space="0" w:color="auto"/>
            <w:left w:val="none" w:sz="0" w:space="0" w:color="auto"/>
            <w:bottom w:val="none" w:sz="0" w:space="0" w:color="auto"/>
            <w:right w:val="none" w:sz="0" w:space="0" w:color="auto"/>
          </w:divBdr>
        </w:div>
        <w:div w:id="1493836508">
          <w:marLeft w:val="0"/>
          <w:marRight w:val="0"/>
          <w:marTop w:val="0"/>
          <w:marBottom w:val="0"/>
          <w:divBdr>
            <w:top w:val="none" w:sz="0" w:space="0" w:color="auto"/>
            <w:left w:val="none" w:sz="0" w:space="0" w:color="auto"/>
            <w:bottom w:val="none" w:sz="0" w:space="0" w:color="auto"/>
            <w:right w:val="none" w:sz="0" w:space="0" w:color="auto"/>
          </w:divBdr>
        </w:div>
        <w:div w:id="1548295904">
          <w:marLeft w:val="0"/>
          <w:marRight w:val="0"/>
          <w:marTop w:val="0"/>
          <w:marBottom w:val="0"/>
          <w:divBdr>
            <w:top w:val="none" w:sz="0" w:space="0" w:color="auto"/>
            <w:left w:val="none" w:sz="0" w:space="0" w:color="auto"/>
            <w:bottom w:val="none" w:sz="0" w:space="0" w:color="auto"/>
            <w:right w:val="none" w:sz="0" w:space="0" w:color="auto"/>
          </w:divBdr>
        </w:div>
        <w:div w:id="1574579997">
          <w:marLeft w:val="0"/>
          <w:marRight w:val="0"/>
          <w:marTop w:val="0"/>
          <w:marBottom w:val="0"/>
          <w:divBdr>
            <w:top w:val="none" w:sz="0" w:space="0" w:color="auto"/>
            <w:left w:val="none" w:sz="0" w:space="0" w:color="auto"/>
            <w:bottom w:val="none" w:sz="0" w:space="0" w:color="auto"/>
            <w:right w:val="none" w:sz="0" w:space="0" w:color="auto"/>
          </w:divBdr>
        </w:div>
        <w:div w:id="1596135358">
          <w:marLeft w:val="0"/>
          <w:marRight w:val="0"/>
          <w:marTop w:val="0"/>
          <w:marBottom w:val="0"/>
          <w:divBdr>
            <w:top w:val="none" w:sz="0" w:space="0" w:color="auto"/>
            <w:left w:val="none" w:sz="0" w:space="0" w:color="auto"/>
            <w:bottom w:val="none" w:sz="0" w:space="0" w:color="auto"/>
            <w:right w:val="none" w:sz="0" w:space="0" w:color="auto"/>
          </w:divBdr>
        </w:div>
        <w:div w:id="1602031851">
          <w:marLeft w:val="0"/>
          <w:marRight w:val="0"/>
          <w:marTop w:val="0"/>
          <w:marBottom w:val="0"/>
          <w:divBdr>
            <w:top w:val="none" w:sz="0" w:space="0" w:color="auto"/>
            <w:left w:val="none" w:sz="0" w:space="0" w:color="auto"/>
            <w:bottom w:val="none" w:sz="0" w:space="0" w:color="auto"/>
            <w:right w:val="none" w:sz="0" w:space="0" w:color="auto"/>
          </w:divBdr>
        </w:div>
        <w:div w:id="1606229945">
          <w:marLeft w:val="0"/>
          <w:marRight w:val="0"/>
          <w:marTop w:val="0"/>
          <w:marBottom w:val="0"/>
          <w:divBdr>
            <w:top w:val="none" w:sz="0" w:space="0" w:color="auto"/>
            <w:left w:val="none" w:sz="0" w:space="0" w:color="auto"/>
            <w:bottom w:val="none" w:sz="0" w:space="0" w:color="auto"/>
            <w:right w:val="none" w:sz="0" w:space="0" w:color="auto"/>
          </w:divBdr>
        </w:div>
        <w:div w:id="1611205312">
          <w:marLeft w:val="0"/>
          <w:marRight w:val="0"/>
          <w:marTop w:val="0"/>
          <w:marBottom w:val="0"/>
          <w:divBdr>
            <w:top w:val="none" w:sz="0" w:space="0" w:color="auto"/>
            <w:left w:val="none" w:sz="0" w:space="0" w:color="auto"/>
            <w:bottom w:val="none" w:sz="0" w:space="0" w:color="auto"/>
            <w:right w:val="none" w:sz="0" w:space="0" w:color="auto"/>
          </w:divBdr>
        </w:div>
        <w:div w:id="1648895906">
          <w:marLeft w:val="0"/>
          <w:marRight w:val="0"/>
          <w:marTop w:val="0"/>
          <w:marBottom w:val="0"/>
          <w:divBdr>
            <w:top w:val="none" w:sz="0" w:space="0" w:color="auto"/>
            <w:left w:val="none" w:sz="0" w:space="0" w:color="auto"/>
            <w:bottom w:val="none" w:sz="0" w:space="0" w:color="auto"/>
            <w:right w:val="none" w:sz="0" w:space="0" w:color="auto"/>
          </w:divBdr>
        </w:div>
        <w:div w:id="1657876415">
          <w:marLeft w:val="0"/>
          <w:marRight w:val="0"/>
          <w:marTop w:val="0"/>
          <w:marBottom w:val="0"/>
          <w:divBdr>
            <w:top w:val="none" w:sz="0" w:space="0" w:color="auto"/>
            <w:left w:val="none" w:sz="0" w:space="0" w:color="auto"/>
            <w:bottom w:val="none" w:sz="0" w:space="0" w:color="auto"/>
            <w:right w:val="none" w:sz="0" w:space="0" w:color="auto"/>
          </w:divBdr>
        </w:div>
        <w:div w:id="1679114096">
          <w:marLeft w:val="0"/>
          <w:marRight w:val="0"/>
          <w:marTop w:val="0"/>
          <w:marBottom w:val="0"/>
          <w:divBdr>
            <w:top w:val="none" w:sz="0" w:space="0" w:color="auto"/>
            <w:left w:val="none" w:sz="0" w:space="0" w:color="auto"/>
            <w:bottom w:val="none" w:sz="0" w:space="0" w:color="auto"/>
            <w:right w:val="none" w:sz="0" w:space="0" w:color="auto"/>
          </w:divBdr>
        </w:div>
        <w:div w:id="1688870137">
          <w:marLeft w:val="0"/>
          <w:marRight w:val="0"/>
          <w:marTop w:val="0"/>
          <w:marBottom w:val="0"/>
          <w:divBdr>
            <w:top w:val="none" w:sz="0" w:space="0" w:color="auto"/>
            <w:left w:val="none" w:sz="0" w:space="0" w:color="auto"/>
            <w:bottom w:val="none" w:sz="0" w:space="0" w:color="auto"/>
            <w:right w:val="none" w:sz="0" w:space="0" w:color="auto"/>
          </w:divBdr>
        </w:div>
        <w:div w:id="1694576414">
          <w:marLeft w:val="0"/>
          <w:marRight w:val="0"/>
          <w:marTop w:val="0"/>
          <w:marBottom w:val="0"/>
          <w:divBdr>
            <w:top w:val="none" w:sz="0" w:space="0" w:color="auto"/>
            <w:left w:val="none" w:sz="0" w:space="0" w:color="auto"/>
            <w:bottom w:val="none" w:sz="0" w:space="0" w:color="auto"/>
            <w:right w:val="none" w:sz="0" w:space="0" w:color="auto"/>
          </w:divBdr>
        </w:div>
        <w:div w:id="1716737366">
          <w:marLeft w:val="0"/>
          <w:marRight w:val="0"/>
          <w:marTop w:val="0"/>
          <w:marBottom w:val="0"/>
          <w:divBdr>
            <w:top w:val="none" w:sz="0" w:space="0" w:color="auto"/>
            <w:left w:val="none" w:sz="0" w:space="0" w:color="auto"/>
            <w:bottom w:val="none" w:sz="0" w:space="0" w:color="auto"/>
            <w:right w:val="none" w:sz="0" w:space="0" w:color="auto"/>
          </w:divBdr>
        </w:div>
        <w:div w:id="1763187408">
          <w:marLeft w:val="0"/>
          <w:marRight w:val="0"/>
          <w:marTop w:val="0"/>
          <w:marBottom w:val="0"/>
          <w:divBdr>
            <w:top w:val="none" w:sz="0" w:space="0" w:color="auto"/>
            <w:left w:val="none" w:sz="0" w:space="0" w:color="auto"/>
            <w:bottom w:val="none" w:sz="0" w:space="0" w:color="auto"/>
            <w:right w:val="none" w:sz="0" w:space="0" w:color="auto"/>
          </w:divBdr>
        </w:div>
        <w:div w:id="1765687300">
          <w:marLeft w:val="0"/>
          <w:marRight w:val="0"/>
          <w:marTop w:val="0"/>
          <w:marBottom w:val="0"/>
          <w:divBdr>
            <w:top w:val="none" w:sz="0" w:space="0" w:color="auto"/>
            <w:left w:val="none" w:sz="0" w:space="0" w:color="auto"/>
            <w:bottom w:val="none" w:sz="0" w:space="0" w:color="auto"/>
            <w:right w:val="none" w:sz="0" w:space="0" w:color="auto"/>
          </w:divBdr>
        </w:div>
        <w:div w:id="1775903385">
          <w:marLeft w:val="0"/>
          <w:marRight w:val="0"/>
          <w:marTop w:val="0"/>
          <w:marBottom w:val="0"/>
          <w:divBdr>
            <w:top w:val="none" w:sz="0" w:space="0" w:color="auto"/>
            <w:left w:val="none" w:sz="0" w:space="0" w:color="auto"/>
            <w:bottom w:val="none" w:sz="0" w:space="0" w:color="auto"/>
            <w:right w:val="none" w:sz="0" w:space="0" w:color="auto"/>
          </w:divBdr>
        </w:div>
        <w:div w:id="1778062991">
          <w:marLeft w:val="0"/>
          <w:marRight w:val="0"/>
          <w:marTop w:val="0"/>
          <w:marBottom w:val="0"/>
          <w:divBdr>
            <w:top w:val="none" w:sz="0" w:space="0" w:color="auto"/>
            <w:left w:val="none" w:sz="0" w:space="0" w:color="auto"/>
            <w:bottom w:val="none" w:sz="0" w:space="0" w:color="auto"/>
            <w:right w:val="none" w:sz="0" w:space="0" w:color="auto"/>
          </w:divBdr>
        </w:div>
        <w:div w:id="1792280813">
          <w:marLeft w:val="0"/>
          <w:marRight w:val="0"/>
          <w:marTop w:val="0"/>
          <w:marBottom w:val="0"/>
          <w:divBdr>
            <w:top w:val="none" w:sz="0" w:space="0" w:color="auto"/>
            <w:left w:val="none" w:sz="0" w:space="0" w:color="auto"/>
            <w:bottom w:val="none" w:sz="0" w:space="0" w:color="auto"/>
            <w:right w:val="none" w:sz="0" w:space="0" w:color="auto"/>
          </w:divBdr>
        </w:div>
        <w:div w:id="1858616608">
          <w:marLeft w:val="0"/>
          <w:marRight w:val="0"/>
          <w:marTop w:val="0"/>
          <w:marBottom w:val="0"/>
          <w:divBdr>
            <w:top w:val="none" w:sz="0" w:space="0" w:color="auto"/>
            <w:left w:val="none" w:sz="0" w:space="0" w:color="auto"/>
            <w:bottom w:val="none" w:sz="0" w:space="0" w:color="auto"/>
            <w:right w:val="none" w:sz="0" w:space="0" w:color="auto"/>
          </w:divBdr>
        </w:div>
        <w:div w:id="1885170854">
          <w:marLeft w:val="0"/>
          <w:marRight w:val="0"/>
          <w:marTop w:val="0"/>
          <w:marBottom w:val="0"/>
          <w:divBdr>
            <w:top w:val="none" w:sz="0" w:space="0" w:color="auto"/>
            <w:left w:val="none" w:sz="0" w:space="0" w:color="auto"/>
            <w:bottom w:val="none" w:sz="0" w:space="0" w:color="auto"/>
            <w:right w:val="none" w:sz="0" w:space="0" w:color="auto"/>
          </w:divBdr>
        </w:div>
        <w:div w:id="1923830541">
          <w:marLeft w:val="0"/>
          <w:marRight w:val="0"/>
          <w:marTop w:val="0"/>
          <w:marBottom w:val="0"/>
          <w:divBdr>
            <w:top w:val="none" w:sz="0" w:space="0" w:color="auto"/>
            <w:left w:val="none" w:sz="0" w:space="0" w:color="auto"/>
            <w:bottom w:val="none" w:sz="0" w:space="0" w:color="auto"/>
            <w:right w:val="none" w:sz="0" w:space="0" w:color="auto"/>
          </w:divBdr>
        </w:div>
        <w:div w:id="1971591011">
          <w:marLeft w:val="0"/>
          <w:marRight w:val="0"/>
          <w:marTop w:val="0"/>
          <w:marBottom w:val="0"/>
          <w:divBdr>
            <w:top w:val="none" w:sz="0" w:space="0" w:color="auto"/>
            <w:left w:val="none" w:sz="0" w:space="0" w:color="auto"/>
            <w:bottom w:val="none" w:sz="0" w:space="0" w:color="auto"/>
            <w:right w:val="none" w:sz="0" w:space="0" w:color="auto"/>
          </w:divBdr>
        </w:div>
        <w:div w:id="1995526736">
          <w:marLeft w:val="0"/>
          <w:marRight w:val="0"/>
          <w:marTop w:val="0"/>
          <w:marBottom w:val="0"/>
          <w:divBdr>
            <w:top w:val="none" w:sz="0" w:space="0" w:color="auto"/>
            <w:left w:val="none" w:sz="0" w:space="0" w:color="auto"/>
            <w:bottom w:val="none" w:sz="0" w:space="0" w:color="auto"/>
            <w:right w:val="none" w:sz="0" w:space="0" w:color="auto"/>
          </w:divBdr>
        </w:div>
        <w:div w:id="2014451859">
          <w:marLeft w:val="0"/>
          <w:marRight w:val="0"/>
          <w:marTop w:val="0"/>
          <w:marBottom w:val="0"/>
          <w:divBdr>
            <w:top w:val="none" w:sz="0" w:space="0" w:color="auto"/>
            <w:left w:val="none" w:sz="0" w:space="0" w:color="auto"/>
            <w:bottom w:val="none" w:sz="0" w:space="0" w:color="auto"/>
            <w:right w:val="none" w:sz="0" w:space="0" w:color="auto"/>
          </w:divBdr>
        </w:div>
        <w:div w:id="2027053340">
          <w:marLeft w:val="0"/>
          <w:marRight w:val="0"/>
          <w:marTop w:val="0"/>
          <w:marBottom w:val="0"/>
          <w:divBdr>
            <w:top w:val="none" w:sz="0" w:space="0" w:color="auto"/>
            <w:left w:val="none" w:sz="0" w:space="0" w:color="auto"/>
            <w:bottom w:val="none" w:sz="0" w:space="0" w:color="auto"/>
            <w:right w:val="none" w:sz="0" w:space="0" w:color="auto"/>
          </w:divBdr>
        </w:div>
        <w:div w:id="2137720891">
          <w:marLeft w:val="0"/>
          <w:marRight w:val="0"/>
          <w:marTop w:val="0"/>
          <w:marBottom w:val="0"/>
          <w:divBdr>
            <w:top w:val="none" w:sz="0" w:space="0" w:color="auto"/>
            <w:left w:val="none" w:sz="0" w:space="0" w:color="auto"/>
            <w:bottom w:val="none" w:sz="0" w:space="0" w:color="auto"/>
            <w:right w:val="none" w:sz="0" w:space="0" w:color="auto"/>
          </w:divBdr>
        </w:div>
        <w:div w:id="2138907350">
          <w:marLeft w:val="0"/>
          <w:marRight w:val="0"/>
          <w:marTop w:val="0"/>
          <w:marBottom w:val="0"/>
          <w:divBdr>
            <w:top w:val="none" w:sz="0" w:space="0" w:color="auto"/>
            <w:left w:val="none" w:sz="0" w:space="0" w:color="auto"/>
            <w:bottom w:val="none" w:sz="0" w:space="0" w:color="auto"/>
            <w:right w:val="none" w:sz="0" w:space="0" w:color="auto"/>
          </w:divBdr>
        </w:div>
      </w:divsChild>
    </w:div>
    <w:div w:id="485905129">
      <w:bodyDiv w:val="1"/>
      <w:marLeft w:val="0"/>
      <w:marRight w:val="0"/>
      <w:marTop w:val="0"/>
      <w:marBottom w:val="0"/>
      <w:divBdr>
        <w:top w:val="none" w:sz="0" w:space="0" w:color="auto"/>
        <w:left w:val="none" w:sz="0" w:space="0" w:color="auto"/>
        <w:bottom w:val="none" w:sz="0" w:space="0" w:color="auto"/>
        <w:right w:val="none" w:sz="0" w:space="0" w:color="auto"/>
      </w:divBdr>
    </w:div>
    <w:div w:id="518587113">
      <w:bodyDiv w:val="1"/>
      <w:marLeft w:val="0"/>
      <w:marRight w:val="0"/>
      <w:marTop w:val="0"/>
      <w:marBottom w:val="0"/>
      <w:divBdr>
        <w:top w:val="none" w:sz="0" w:space="0" w:color="auto"/>
        <w:left w:val="none" w:sz="0" w:space="0" w:color="auto"/>
        <w:bottom w:val="none" w:sz="0" w:space="0" w:color="auto"/>
        <w:right w:val="none" w:sz="0" w:space="0" w:color="auto"/>
      </w:divBdr>
    </w:div>
    <w:div w:id="560405700">
      <w:bodyDiv w:val="1"/>
      <w:marLeft w:val="0"/>
      <w:marRight w:val="0"/>
      <w:marTop w:val="0"/>
      <w:marBottom w:val="0"/>
      <w:divBdr>
        <w:top w:val="none" w:sz="0" w:space="0" w:color="auto"/>
        <w:left w:val="none" w:sz="0" w:space="0" w:color="auto"/>
        <w:bottom w:val="none" w:sz="0" w:space="0" w:color="auto"/>
        <w:right w:val="none" w:sz="0" w:space="0" w:color="auto"/>
      </w:divBdr>
    </w:div>
    <w:div w:id="596643673">
      <w:bodyDiv w:val="1"/>
      <w:marLeft w:val="0"/>
      <w:marRight w:val="0"/>
      <w:marTop w:val="0"/>
      <w:marBottom w:val="0"/>
      <w:divBdr>
        <w:top w:val="none" w:sz="0" w:space="0" w:color="auto"/>
        <w:left w:val="none" w:sz="0" w:space="0" w:color="auto"/>
        <w:bottom w:val="none" w:sz="0" w:space="0" w:color="auto"/>
        <w:right w:val="none" w:sz="0" w:space="0" w:color="auto"/>
      </w:divBdr>
    </w:div>
    <w:div w:id="613443365">
      <w:bodyDiv w:val="1"/>
      <w:marLeft w:val="0"/>
      <w:marRight w:val="0"/>
      <w:marTop w:val="0"/>
      <w:marBottom w:val="0"/>
      <w:divBdr>
        <w:top w:val="none" w:sz="0" w:space="0" w:color="auto"/>
        <w:left w:val="none" w:sz="0" w:space="0" w:color="auto"/>
        <w:bottom w:val="none" w:sz="0" w:space="0" w:color="auto"/>
        <w:right w:val="none" w:sz="0" w:space="0" w:color="auto"/>
      </w:divBdr>
      <w:divsChild>
        <w:div w:id="1380520422">
          <w:marLeft w:val="360"/>
          <w:marRight w:val="0"/>
          <w:marTop w:val="200"/>
          <w:marBottom w:val="0"/>
          <w:divBdr>
            <w:top w:val="none" w:sz="0" w:space="0" w:color="auto"/>
            <w:left w:val="none" w:sz="0" w:space="0" w:color="auto"/>
            <w:bottom w:val="none" w:sz="0" w:space="0" w:color="auto"/>
            <w:right w:val="none" w:sz="0" w:space="0" w:color="auto"/>
          </w:divBdr>
        </w:div>
        <w:div w:id="1568304830">
          <w:marLeft w:val="360"/>
          <w:marRight w:val="0"/>
          <w:marTop w:val="200"/>
          <w:marBottom w:val="0"/>
          <w:divBdr>
            <w:top w:val="none" w:sz="0" w:space="0" w:color="auto"/>
            <w:left w:val="none" w:sz="0" w:space="0" w:color="auto"/>
            <w:bottom w:val="none" w:sz="0" w:space="0" w:color="auto"/>
            <w:right w:val="none" w:sz="0" w:space="0" w:color="auto"/>
          </w:divBdr>
        </w:div>
        <w:div w:id="1771125708">
          <w:marLeft w:val="360"/>
          <w:marRight w:val="0"/>
          <w:marTop w:val="200"/>
          <w:marBottom w:val="0"/>
          <w:divBdr>
            <w:top w:val="none" w:sz="0" w:space="0" w:color="auto"/>
            <w:left w:val="none" w:sz="0" w:space="0" w:color="auto"/>
            <w:bottom w:val="none" w:sz="0" w:space="0" w:color="auto"/>
            <w:right w:val="none" w:sz="0" w:space="0" w:color="auto"/>
          </w:divBdr>
        </w:div>
        <w:div w:id="2053529717">
          <w:marLeft w:val="360"/>
          <w:marRight w:val="0"/>
          <w:marTop w:val="200"/>
          <w:marBottom w:val="0"/>
          <w:divBdr>
            <w:top w:val="none" w:sz="0" w:space="0" w:color="auto"/>
            <w:left w:val="none" w:sz="0" w:space="0" w:color="auto"/>
            <w:bottom w:val="none" w:sz="0" w:space="0" w:color="auto"/>
            <w:right w:val="none" w:sz="0" w:space="0" w:color="auto"/>
          </w:divBdr>
        </w:div>
      </w:divsChild>
    </w:div>
    <w:div w:id="624434430">
      <w:bodyDiv w:val="1"/>
      <w:marLeft w:val="0"/>
      <w:marRight w:val="0"/>
      <w:marTop w:val="0"/>
      <w:marBottom w:val="0"/>
      <w:divBdr>
        <w:top w:val="none" w:sz="0" w:space="0" w:color="auto"/>
        <w:left w:val="none" w:sz="0" w:space="0" w:color="auto"/>
        <w:bottom w:val="none" w:sz="0" w:space="0" w:color="auto"/>
        <w:right w:val="none" w:sz="0" w:space="0" w:color="auto"/>
      </w:divBdr>
      <w:divsChild>
        <w:div w:id="447747923">
          <w:marLeft w:val="360"/>
          <w:marRight w:val="0"/>
          <w:marTop w:val="200"/>
          <w:marBottom w:val="0"/>
          <w:divBdr>
            <w:top w:val="none" w:sz="0" w:space="0" w:color="auto"/>
            <w:left w:val="none" w:sz="0" w:space="0" w:color="auto"/>
            <w:bottom w:val="none" w:sz="0" w:space="0" w:color="auto"/>
            <w:right w:val="none" w:sz="0" w:space="0" w:color="auto"/>
          </w:divBdr>
        </w:div>
        <w:div w:id="810633052">
          <w:marLeft w:val="360"/>
          <w:marRight w:val="0"/>
          <w:marTop w:val="200"/>
          <w:marBottom w:val="0"/>
          <w:divBdr>
            <w:top w:val="none" w:sz="0" w:space="0" w:color="auto"/>
            <w:left w:val="none" w:sz="0" w:space="0" w:color="auto"/>
            <w:bottom w:val="none" w:sz="0" w:space="0" w:color="auto"/>
            <w:right w:val="none" w:sz="0" w:space="0" w:color="auto"/>
          </w:divBdr>
        </w:div>
        <w:div w:id="820930508">
          <w:marLeft w:val="360"/>
          <w:marRight w:val="0"/>
          <w:marTop w:val="200"/>
          <w:marBottom w:val="0"/>
          <w:divBdr>
            <w:top w:val="none" w:sz="0" w:space="0" w:color="auto"/>
            <w:left w:val="none" w:sz="0" w:space="0" w:color="auto"/>
            <w:bottom w:val="none" w:sz="0" w:space="0" w:color="auto"/>
            <w:right w:val="none" w:sz="0" w:space="0" w:color="auto"/>
          </w:divBdr>
        </w:div>
      </w:divsChild>
    </w:div>
    <w:div w:id="662389334">
      <w:bodyDiv w:val="1"/>
      <w:marLeft w:val="0"/>
      <w:marRight w:val="0"/>
      <w:marTop w:val="0"/>
      <w:marBottom w:val="0"/>
      <w:divBdr>
        <w:top w:val="none" w:sz="0" w:space="0" w:color="auto"/>
        <w:left w:val="none" w:sz="0" w:space="0" w:color="auto"/>
        <w:bottom w:val="none" w:sz="0" w:space="0" w:color="auto"/>
        <w:right w:val="none" w:sz="0" w:space="0" w:color="auto"/>
      </w:divBdr>
      <w:divsChild>
        <w:div w:id="720523210">
          <w:marLeft w:val="360"/>
          <w:marRight w:val="0"/>
          <w:marTop w:val="200"/>
          <w:marBottom w:val="0"/>
          <w:divBdr>
            <w:top w:val="none" w:sz="0" w:space="0" w:color="auto"/>
            <w:left w:val="none" w:sz="0" w:space="0" w:color="auto"/>
            <w:bottom w:val="none" w:sz="0" w:space="0" w:color="auto"/>
            <w:right w:val="none" w:sz="0" w:space="0" w:color="auto"/>
          </w:divBdr>
        </w:div>
        <w:div w:id="1260673262">
          <w:marLeft w:val="360"/>
          <w:marRight w:val="0"/>
          <w:marTop w:val="200"/>
          <w:marBottom w:val="0"/>
          <w:divBdr>
            <w:top w:val="none" w:sz="0" w:space="0" w:color="auto"/>
            <w:left w:val="none" w:sz="0" w:space="0" w:color="auto"/>
            <w:bottom w:val="none" w:sz="0" w:space="0" w:color="auto"/>
            <w:right w:val="none" w:sz="0" w:space="0" w:color="auto"/>
          </w:divBdr>
        </w:div>
        <w:div w:id="1716343848">
          <w:marLeft w:val="360"/>
          <w:marRight w:val="0"/>
          <w:marTop w:val="200"/>
          <w:marBottom w:val="0"/>
          <w:divBdr>
            <w:top w:val="none" w:sz="0" w:space="0" w:color="auto"/>
            <w:left w:val="none" w:sz="0" w:space="0" w:color="auto"/>
            <w:bottom w:val="none" w:sz="0" w:space="0" w:color="auto"/>
            <w:right w:val="none" w:sz="0" w:space="0" w:color="auto"/>
          </w:divBdr>
        </w:div>
        <w:div w:id="1828285078">
          <w:marLeft w:val="360"/>
          <w:marRight w:val="0"/>
          <w:marTop w:val="200"/>
          <w:marBottom w:val="0"/>
          <w:divBdr>
            <w:top w:val="none" w:sz="0" w:space="0" w:color="auto"/>
            <w:left w:val="none" w:sz="0" w:space="0" w:color="auto"/>
            <w:bottom w:val="none" w:sz="0" w:space="0" w:color="auto"/>
            <w:right w:val="none" w:sz="0" w:space="0" w:color="auto"/>
          </w:divBdr>
        </w:div>
      </w:divsChild>
    </w:div>
    <w:div w:id="695666058">
      <w:bodyDiv w:val="1"/>
      <w:marLeft w:val="0"/>
      <w:marRight w:val="0"/>
      <w:marTop w:val="0"/>
      <w:marBottom w:val="0"/>
      <w:divBdr>
        <w:top w:val="none" w:sz="0" w:space="0" w:color="auto"/>
        <w:left w:val="none" w:sz="0" w:space="0" w:color="auto"/>
        <w:bottom w:val="none" w:sz="0" w:space="0" w:color="auto"/>
        <w:right w:val="none" w:sz="0" w:space="0" w:color="auto"/>
      </w:divBdr>
    </w:div>
    <w:div w:id="761069977">
      <w:bodyDiv w:val="1"/>
      <w:marLeft w:val="0"/>
      <w:marRight w:val="0"/>
      <w:marTop w:val="0"/>
      <w:marBottom w:val="0"/>
      <w:divBdr>
        <w:top w:val="none" w:sz="0" w:space="0" w:color="auto"/>
        <w:left w:val="none" w:sz="0" w:space="0" w:color="auto"/>
        <w:bottom w:val="none" w:sz="0" w:space="0" w:color="auto"/>
        <w:right w:val="none" w:sz="0" w:space="0" w:color="auto"/>
      </w:divBdr>
    </w:div>
    <w:div w:id="805009800">
      <w:bodyDiv w:val="1"/>
      <w:marLeft w:val="0"/>
      <w:marRight w:val="0"/>
      <w:marTop w:val="0"/>
      <w:marBottom w:val="0"/>
      <w:divBdr>
        <w:top w:val="none" w:sz="0" w:space="0" w:color="auto"/>
        <w:left w:val="none" w:sz="0" w:space="0" w:color="auto"/>
        <w:bottom w:val="none" w:sz="0" w:space="0" w:color="auto"/>
        <w:right w:val="none" w:sz="0" w:space="0" w:color="auto"/>
      </w:divBdr>
      <w:divsChild>
        <w:div w:id="2083214186">
          <w:marLeft w:val="274"/>
          <w:marRight w:val="0"/>
          <w:marTop w:val="0"/>
          <w:marBottom w:val="0"/>
          <w:divBdr>
            <w:top w:val="none" w:sz="0" w:space="0" w:color="auto"/>
            <w:left w:val="none" w:sz="0" w:space="0" w:color="auto"/>
            <w:bottom w:val="none" w:sz="0" w:space="0" w:color="auto"/>
            <w:right w:val="none" w:sz="0" w:space="0" w:color="auto"/>
          </w:divBdr>
        </w:div>
      </w:divsChild>
    </w:div>
    <w:div w:id="883101063">
      <w:bodyDiv w:val="1"/>
      <w:marLeft w:val="0"/>
      <w:marRight w:val="0"/>
      <w:marTop w:val="0"/>
      <w:marBottom w:val="0"/>
      <w:divBdr>
        <w:top w:val="none" w:sz="0" w:space="0" w:color="auto"/>
        <w:left w:val="none" w:sz="0" w:space="0" w:color="auto"/>
        <w:bottom w:val="none" w:sz="0" w:space="0" w:color="auto"/>
        <w:right w:val="none" w:sz="0" w:space="0" w:color="auto"/>
      </w:divBdr>
      <w:divsChild>
        <w:div w:id="151727348">
          <w:marLeft w:val="0"/>
          <w:marRight w:val="0"/>
          <w:marTop w:val="0"/>
          <w:marBottom w:val="0"/>
          <w:divBdr>
            <w:top w:val="none" w:sz="0" w:space="0" w:color="auto"/>
            <w:left w:val="none" w:sz="0" w:space="0" w:color="auto"/>
            <w:bottom w:val="none" w:sz="0" w:space="0" w:color="auto"/>
            <w:right w:val="none" w:sz="0" w:space="0" w:color="auto"/>
          </w:divBdr>
        </w:div>
      </w:divsChild>
    </w:div>
    <w:div w:id="914363652">
      <w:bodyDiv w:val="1"/>
      <w:marLeft w:val="0"/>
      <w:marRight w:val="0"/>
      <w:marTop w:val="0"/>
      <w:marBottom w:val="0"/>
      <w:divBdr>
        <w:top w:val="none" w:sz="0" w:space="0" w:color="auto"/>
        <w:left w:val="none" w:sz="0" w:space="0" w:color="auto"/>
        <w:bottom w:val="none" w:sz="0" w:space="0" w:color="auto"/>
        <w:right w:val="none" w:sz="0" w:space="0" w:color="auto"/>
      </w:divBdr>
    </w:div>
    <w:div w:id="956715794">
      <w:bodyDiv w:val="1"/>
      <w:marLeft w:val="0"/>
      <w:marRight w:val="0"/>
      <w:marTop w:val="0"/>
      <w:marBottom w:val="0"/>
      <w:divBdr>
        <w:top w:val="none" w:sz="0" w:space="0" w:color="auto"/>
        <w:left w:val="none" w:sz="0" w:space="0" w:color="auto"/>
        <w:bottom w:val="none" w:sz="0" w:space="0" w:color="auto"/>
        <w:right w:val="none" w:sz="0" w:space="0" w:color="auto"/>
      </w:divBdr>
      <w:divsChild>
        <w:div w:id="240794468">
          <w:marLeft w:val="446"/>
          <w:marRight w:val="0"/>
          <w:marTop w:val="0"/>
          <w:marBottom w:val="120"/>
          <w:divBdr>
            <w:top w:val="none" w:sz="0" w:space="0" w:color="auto"/>
            <w:left w:val="none" w:sz="0" w:space="0" w:color="auto"/>
            <w:bottom w:val="none" w:sz="0" w:space="0" w:color="auto"/>
            <w:right w:val="none" w:sz="0" w:space="0" w:color="auto"/>
          </w:divBdr>
        </w:div>
        <w:div w:id="634604902">
          <w:marLeft w:val="446"/>
          <w:marRight w:val="0"/>
          <w:marTop w:val="0"/>
          <w:marBottom w:val="120"/>
          <w:divBdr>
            <w:top w:val="none" w:sz="0" w:space="0" w:color="auto"/>
            <w:left w:val="none" w:sz="0" w:space="0" w:color="auto"/>
            <w:bottom w:val="none" w:sz="0" w:space="0" w:color="auto"/>
            <w:right w:val="none" w:sz="0" w:space="0" w:color="auto"/>
          </w:divBdr>
        </w:div>
        <w:div w:id="877664170">
          <w:marLeft w:val="446"/>
          <w:marRight w:val="0"/>
          <w:marTop w:val="0"/>
          <w:marBottom w:val="120"/>
          <w:divBdr>
            <w:top w:val="none" w:sz="0" w:space="0" w:color="auto"/>
            <w:left w:val="none" w:sz="0" w:space="0" w:color="auto"/>
            <w:bottom w:val="none" w:sz="0" w:space="0" w:color="auto"/>
            <w:right w:val="none" w:sz="0" w:space="0" w:color="auto"/>
          </w:divBdr>
        </w:div>
        <w:div w:id="1701201993">
          <w:marLeft w:val="547"/>
          <w:marRight w:val="0"/>
          <w:marTop w:val="0"/>
          <w:marBottom w:val="120"/>
          <w:divBdr>
            <w:top w:val="none" w:sz="0" w:space="0" w:color="auto"/>
            <w:left w:val="none" w:sz="0" w:space="0" w:color="auto"/>
            <w:bottom w:val="none" w:sz="0" w:space="0" w:color="auto"/>
            <w:right w:val="none" w:sz="0" w:space="0" w:color="auto"/>
          </w:divBdr>
        </w:div>
      </w:divsChild>
    </w:div>
    <w:div w:id="1012728201">
      <w:bodyDiv w:val="1"/>
      <w:marLeft w:val="0"/>
      <w:marRight w:val="0"/>
      <w:marTop w:val="0"/>
      <w:marBottom w:val="0"/>
      <w:divBdr>
        <w:top w:val="none" w:sz="0" w:space="0" w:color="auto"/>
        <w:left w:val="none" w:sz="0" w:space="0" w:color="auto"/>
        <w:bottom w:val="none" w:sz="0" w:space="0" w:color="auto"/>
        <w:right w:val="none" w:sz="0" w:space="0" w:color="auto"/>
      </w:divBdr>
    </w:div>
    <w:div w:id="1037391996">
      <w:bodyDiv w:val="1"/>
      <w:marLeft w:val="0"/>
      <w:marRight w:val="0"/>
      <w:marTop w:val="0"/>
      <w:marBottom w:val="0"/>
      <w:divBdr>
        <w:top w:val="none" w:sz="0" w:space="0" w:color="auto"/>
        <w:left w:val="none" w:sz="0" w:space="0" w:color="auto"/>
        <w:bottom w:val="none" w:sz="0" w:space="0" w:color="auto"/>
        <w:right w:val="none" w:sz="0" w:space="0" w:color="auto"/>
      </w:divBdr>
    </w:div>
    <w:div w:id="1040125651">
      <w:bodyDiv w:val="1"/>
      <w:marLeft w:val="0"/>
      <w:marRight w:val="0"/>
      <w:marTop w:val="0"/>
      <w:marBottom w:val="0"/>
      <w:divBdr>
        <w:top w:val="none" w:sz="0" w:space="0" w:color="auto"/>
        <w:left w:val="none" w:sz="0" w:space="0" w:color="auto"/>
        <w:bottom w:val="none" w:sz="0" w:space="0" w:color="auto"/>
        <w:right w:val="none" w:sz="0" w:space="0" w:color="auto"/>
      </w:divBdr>
    </w:div>
    <w:div w:id="1077938466">
      <w:bodyDiv w:val="1"/>
      <w:marLeft w:val="0"/>
      <w:marRight w:val="0"/>
      <w:marTop w:val="0"/>
      <w:marBottom w:val="0"/>
      <w:divBdr>
        <w:top w:val="none" w:sz="0" w:space="0" w:color="auto"/>
        <w:left w:val="none" w:sz="0" w:space="0" w:color="auto"/>
        <w:bottom w:val="none" w:sz="0" w:space="0" w:color="auto"/>
        <w:right w:val="none" w:sz="0" w:space="0" w:color="auto"/>
      </w:divBdr>
      <w:divsChild>
        <w:div w:id="1221752668">
          <w:marLeft w:val="1886"/>
          <w:marRight w:val="0"/>
          <w:marTop w:val="0"/>
          <w:marBottom w:val="120"/>
          <w:divBdr>
            <w:top w:val="none" w:sz="0" w:space="0" w:color="auto"/>
            <w:left w:val="none" w:sz="0" w:space="0" w:color="auto"/>
            <w:bottom w:val="none" w:sz="0" w:space="0" w:color="auto"/>
            <w:right w:val="none" w:sz="0" w:space="0" w:color="auto"/>
          </w:divBdr>
        </w:div>
      </w:divsChild>
    </w:div>
    <w:div w:id="1084302805">
      <w:bodyDiv w:val="1"/>
      <w:marLeft w:val="0"/>
      <w:marRight w:val="0"/>
      <w:marTop w:val="0"/>
      <w:marBottom w:val="0"/>
      <w:divBdr>
        <w:top w:val="none" w:sz="0" w:space="0" w:color="auto"/>
        <w:left w:val="none" w:sz="0" w:space="0" w:color="auto"/>
        <w:bottom w:val="none" w:sz="0" w:space="0" w:color="auto"/>
        <w:right w:val="none" w:sz="0" w:space="0" w:color="auto"/>
      </w:divBdr>
      <w:divsChild>
        <w:div w:id="401487207">
          <w:marLeft w:val="360"/>
          <w:marRight w:val="0"/>
          <w:marTop w:val="200"/>
          <w:marBottom w:val="0"/>
          <w:divBdr>
            <w:top w:val="none" w:sz="0" w:space="0" w:color="auto"/>
            <w:left w:val="none" w:sz="0" w:space="0" w:color="auto"/>
            <w:bottom w:val="none" w:sz="0" w:space="0" w:color="auto"/>
            <w:right w:val="none" w:sz="0" w:space="0" w:color="auto"/>
          </w:divBdr>
        </w:div>
        <w:div w:id="1106927080">
          <w:marLeft w:val="360"/>
          <w:marRight w:val="0"/>
          <w:marTop w:val="200"/>
          <w:marBottom w:val="0"/>
          <w:divBdr>
            <w:top w:val="none" w:sz="0" w:space="0" w:color="auto"/>
            <w:left w:val="none" w:sz="0" w:space="0" w:color="auto"/>
            <w:bottom w:val="none" w:sz="0" w:space="0" w:color="auto"/>
            <w:right w:val="none" w:sz="0" w:space="0" w:color="auto"/>
          </w:divBdr>
        </w:div>
        <w:div w:id="1758594421">
          <w:marLeft w:val="360"/>
          <w:marRight w:val="0"/>
          <w:marTop w:val="200"/>
          <w:marBottom w:val="0"/>
          <w:divBdr>
            <w:top w:val="none" w:sz="0" w:space="0" w:color="auto"/>
            <w:left w:val="none" w:sz="0" w:space="0" w:color="auto"/>
            <w:bottom w:val="none" w:sz="0" w:space="0" w:color="auto"/>
            <w:right w:val="none" w:sz="0" w:space="0" w:color="auto"/>
          </w:divBdr>
        </w:div>
      </w:divsChild>
    </w:div>
    <w:div w:id="1106656858">
      <w:bodyDiv w:val="1"/>
      <w:marLeft w:val="0"/>
      <w:marRight w:val="0"/>
      <w:marTop w:val="0"/>
      <w:marBottom w:val="0"/>
      <w:divBdr>
        <w:top w:val="none" w:sz="0" w:space="0" w:color="auto"/>
        <w:left w:val="none" w:sz="0" w:space="0" w:color="auto"/>
        <w:bottom w:val="none" w:sz="0" w:space="0" w:color="auto"/>
        <w:right w:val="none" w:sz="0" w:space="0" w:color="auto"/>
      </w:divBdr>
    </w:div>
    <w:div w:id="1109592509">
      <w:bodyDiv w:val="1"/>
      <w:marLeft w:val="0"/>
      <w:marRight w:val="0"/>
      <w:marTop w:val="0"/>
      <w:marBottom w:val="0"/>
      <w:divBdr>
        <w:top w:val="none" w:sz="0" w:space="0" w:color="auto"/>
        <w:left w:val="none" w:sz="0" w:space="0" w:color="auto"/>
        <w:bottom w:val="none" w:sz="0" w:space="0" w:color="auto"/>
        <w:right w:val="none" w:sz="0" w:space="0" w:color="auto"/>
      </w:divBdr>
    </w:div>
    <w:div w:id="1127049255">
      <w:bodyDiv w:val="1"/>
      <w:marLeft w:val="0"/>
      <w:marRight w:val="0"/>
      <w:marTop w:val="0"/>
      <w:marBottom w:val="0"/>
      <w:divBdr>
        <w:top w:val="none" w:sz="0" w:space="0" w:color="auto"/>
        <w:left w:val="none" w:sz="0" w:space="0" w:color="auto"/>
        <w:bottom w:val="none" w:sz="0" w:space="0" w:color="auto"/>
        <w:right w:val="none" w:sz="0" w:space="0" w:color="auto"/>
      </w:divBdr>
    </w:div>
    <w:div w:id="1133137992">
      <w:bodyDiv w:val="1"/>
      <w:marLeft w:val="0"/>
      <w:marRight w:val="0"/>
      <w:marTop w:val="0"/>
      <w:marBottom w:val="0"/>
      <w:divBdr>
        <w:top w:val="none" w:sz="0" w:space="0" w:color="auto"/>
        <w:left w:val="none" w:sz="0" w:space="0" w:color="auto"/>
        <w:bottom w:val="none" w:sz="0" w:space="0" w:color="auto"/>
        <w:right w:val="none" w:sz="0" w:space="0" w:color="auto"/>
      </w:divBdr>
    </w:div>
    <w:div w:id="1142582555">
      <w:bodyDiv w:val="1"/>
      <w:marLeft w:val="0"/>
      <w:marRight w:val="0"/>
      <w:marTop w:val="0"/>
      <w:marBottom w:val="0"/>
      <w:divBdr>
        <w:top w:val="none" w:sz="0" w:space="0" w:color="auto"/>
        <w:left w:val="none" w:sz="0" w:space="0" w:color="auto"/>
        <w:bottom w:val="none" w:sz="0" w:space="0" w:color="auto"/>
        <w:right w:val="none" w:sz="0" w:space="0" w:color="auto"/>
      </w:divBdr>
      <w:divsChild>
        <w:div w:id="70933302">
          <w:marLeft w:val="0"/>
          <w:marRight w:val="0"/>
          <w:marTop w:val="0"/>
          <w:marBottom w:val="0"/>
          <w:divBdr>
            <w:top w:val="none" w:sz="0" w:space="0" w:color="auto"/>
            <w:left w:val="none" w:sz="0" w:space="0" w:color="auto"/>
            <w:bottom w:val="none" w:sz="0" w:space="0" w:color="auto"/>
            <w:right w:val="none" w:sz="0" w:space="0" w:color="auto"/>
          </w:divBdr>
        </w:div>
      </w:divsChild>
    </w:div>
    <w:div w:id="1159618295">
      <w:bodyDiv w:val="1"/>
      <w:marLeft w:val="0"/>
      <w:marRight w:val="0"/>
      <w:marTop w:val="0"/>
      <w:marBottom w:val="0"/>
      <w:divBdr>
        <w:top w:val="none" w:sz="0" w:space="0" w:color="auto"/>
        <w:left w:val="none" w:sz="0" w:space="0" w:color="auto"/>
        <w:bottom w:val="none" w:sz="0" w:space="0" w:color="auto"/>
        <w:right w:val="none" w:sz="0" w:space="0" w:color="auto"/>
      </w:divBdr>
    </w:div>
    <w:div w:id="1175533086">
      <w:bodyDiv w:val="1"/>
      <w:marLeft w:val="0"/>
      <w:marRight w:val="0"/>
      <w:marTop w:val="0"/>
      <w:marBottom w:val="0"/>
      <w:divBdr>
        <w:top w:val="none" w:sz="0" w:space="0" w:color="auto"/>
        <w:left w:val="none" w:sz="0" w:space="0" w:color="auto"/>
        <w:bottom w:val="none" w:sz="0" w:space="0" w:color="auto"/>
        <w:right w:val="none" w:sz="0" w:space="0" w:color="auto"/>
      </w:divBdr>
      <w:divsChild>
        <w:div w:id="735708122">
          <w:marLeft w:val="432"/>
          <w:marRight w:val="0"/>
          <w:marTop w:val="115"/>
          <w:marBottom w:val="0"/>
          <w:divBdr>
            <w:top w:val="none" w:sz="0" w:space="0" w:color="auto"/>
            <w:left w:val="none" w:sz="0" w:space="0" w:color="auto"/>
            <w:bottom w:val="none" w:sz="0" w:space="0" w:color="auto"/>
            <w:right w:val="none" w:sz="0" w:space="0" w:color="auto"/>
          </w:divBdr>
        </w:div>
        <w:div w:id="1047023533">
          <w:marLeft w:val="432"/>
          <w:marRight w:val="0"/>
          <w:marTop w:val="115"/>
          <w:marBottom w:val="0"/>
          <w:divBdr>
            <w:top w:val="none" w:sz="0" w:space="0" w:color="auto"/>
            <w:left w:val="none" w:sz="0" w:space="0" w:color="auto"/>
            <w:bottom w:val="none" w:sz="0" w:space="0" w:color="auto"/>
            <w:right w:val="none" w:sz="0" w:space="0" w:color="auto"/>
          </w:divBdr>
        </w:div>
        <w:div w:id="1133257469">
          <w:marLeft w:val="432"/>
          <w:marRight w:val="0"/>
          <w:marTop w:val="115"/>
          <w:marBottom w:val="0"/>
          <w:divBdr>
            <w:top w:val="none" w:sz="0" w:space="0" w:color="auto"/>
            <w:left w:val="none" w:sz="0" w:space="0" w:color="auto"/>
            <w:bottom w:val="none" w:sz="0" w:space="0" w:color="auto"/>
            <w:right w:val="none" w:sz="0" w:space="0" w:color="auto"/>
          </w:divBdr>
        </w:div>
      </w:divsChild>
    </w:div>
    <w:div w:id="1178498388">
      <w:bodyDiv w:val="1"/>
      <w:marLeft w:val="0"/>
      <w:marRight w:val="0"/>
      <w:marTop w:val="0"/>
      <w:marBottom w:val="0"/>
      <w:divBdr>
        <w:top w:val="none" w:sz="0" w:space="0" w:color="auto"/>
        <w:left w:val="none" w:sz="0" w:space="0" w:color="auto"/>
        <w:bottom w:val="none" w:sz="0" w:space="0" w:color="auto"/>
        <w:right w:val="none" w:sz="0" w:space="0" w:color="auto"/>
      </w:divBdr>
    </w:div>
    <w:div w:id="1181118028">
      <w:bodyDiv w:val="1"/>
      <w:marLeft w:val="0"/>
      <w:marRight w:val="0"/>
      <w:marTop w:val="0"/>
      <w:marBottom w:val="0"/>
      <w:divBdr>
        <w:top w:val="none" w:sz="0" w:space="0" w:color="auto"/>
        <w:left w:val="none" w:sz="0" w:space="0" w:color="auto"/>
        <w:bottom w:val="none" w:sz="0" w:space="0" w:color="auto"/>
        <w:right w:val="none" w:sz="0" w:space="0" w:color="auto"/>
      </w:divBdr>
      <w:divsChild>
        <w:div w:id="880437988">
          <w:marLeft w:val="0"/>
          <w:marRight w:val="0"/>
          <w:marTop w:val="0"/>
          <w:marBottom w:val="0"/>
          <w:divBdr>
            <w:top w:val="none" w:sz="0" w:space="0" w:color="auto"/>
            <w:left w:val="none" w:sz="0" w:space="0" w:color="auto"/>
            <w:bottom w:val="none" w:sz="0" w:space="0" w:color="auto"/>
            <w:right w:val="none" w:sz="0" w:space="0" w:color="auto"/>
          </w:divBdr>
        </w:div>
        <w:div w:id="1168323853">
          <w:marLeft w:val="0"/>
          <w:marRight w:val="0"/>
          <w:marTop w:val="0"/>
          <w:marBottom w:val="0"/>
          <w:divBdr>
            <w:top w:val="none" w:sz="0" w:space="0" w:color="auto"/>
            <w:left w:val="none" w:sz="0" w:space="0" w:color="auto"/>
            <w:bottom w:val="none" w:sz="0" w:space="0" w:color="auto"/>
            <w:right w:val="none" w:sz="0" w:space="0" w:color="auto"/>
          </w:divBdr>
        </w:div>
        <w:div w:id="1304315535">
          <w:marLeft w:val="0"/>
          <w:marRight w:val="0"/>
          <w:marTop w:val="0"/>
          <w:marBottom w:val="0"/>
          <w:divBdr>
            <w:top w:val="none" w:sz="0" w:space="0" w:color="auto"/>
            <w:left w:val="none" w:sz="0" w:space="0" w:color="auto"/>
            <w:bottom w:val="none" w:sz="0" w:space="0" w:color="auto"/>
            <w:right w:val="none" w:sz="0" w:space="0" w:color="auto"/>
          </w:divBdr>
        </w:div>
        <w:div w:id="1744794670">
          <w:marLeft w:val="0"/>
          <w:marRight w:val="0"/>
          <w:marTop w:val="0"/>
          <w:marBottom w:val="0"/>
          <w:divBdr>
            <w:top w:val="none" w:sz="0" w:space="0" w:color="auto"/>
            <w:left w:val="none" w:sz="0" w:space="0" w:color="auto"/>
            <w:bottom w:val="none" w:sz="0" w:space="0" w:color="auto"/>
            <w:right w:val="none" w:sz="0" w:space="0" w:color="auto"/>
          </w:divBdr>
        </w:div>
        <w:div w:id="2033720158">
          <w:marLeft w:val="0"/>
          <w:marRight w:val="0"/>
          <w:marTop w:val="0"/>
          <w:marBottom w:val="0"/>
          <w:divBdr>
            <w:top w:val="none" w:sz="0" w:space="0" w:color="auto"/>
            <w:left w:val="none" w:sz="0" w:space="0" w:color="auto"/>
            <w:bottom w:val="none" w:sz="0" w:space="0" w:color="auto"/>
            <w:right w:val="none" w:sz="0" w:space="0" w:color="auto"/>
          </w:divBdr>
        </w:div>
      </w:divsChild>
    </w:div>
    <w:div w:id="1215578053">
      <w:bodyDiv w:val="1"/>
      <w:marLeft w:val="0"/>
      <w:marRight w:val="0"/>
      <w:marTop w:val="0"/>
      <w:marBottom w:val="0"/>
      <w:divBdr>
        <w:top w:val="none" w:sz="0" w:space="0" w:color="auto"/>
        <w:left w:val="none" w:sz="0" w:space="0" w:color="auto"/>
        <w:bottom w:val="none" w:sz="0" w:space="0" w:color="auto"/>
        <w:right w:val="none" w:sz="0" w:space="0" w:color="auto"/>
      </w:divBdr>
    </w:div>
    <w:div w:id="1218666457">
      <w:bodyDiv w:val="1"/>
      <w:marLeft w:val="0"/>
      <w:marRight w:val="0"/>
      <w:marTop w:val="0"/>
      <w:marBottom w:val="0"/>
      <w:divBdr>
        <w:top w:val="none" w:sz="0" w:space="0" w:color="auto"/>
        <w:left w:val="none" w:sz="0" w:space="0" w:color="auto"/>
        <w:bottom w:val="none" w:sz="0" w:space="0" w:color="auto"/>
        <w:right w:val="none" w:sz="0" w:space="0" w:color="auto"/>
      </w:divBdr>
    </w:div>
    <w:div w:id="1240947324">
      <w:bodyDiv w:val="1"/>
      <w:marLeft w:val="0"/>
      <w:marRight w:val="0"/>
      <w:marTop w:val="0"/>
      <w:marBottom w:val="0"/>
      <w:divBdr>
        <w:top w:val="none" w:sz="0" w:space="0" w:color="auto"/>
        <w:left w:val="none" w:sz="0" w:space="0" w:color="auto"/>
        <w:bottom w:val="none" w:sz="0" w:space="0" w:color="auto"/>
        <w:right w:val="none" w:sz="0" w:space="0" w:color="auto"/>
      </w:divBdr>
    </w:div>
    <w:div w:id="1272977213">
      <w:bodyDiv w:val="1"/>
      <w:marLeft w:val="0"/>
      <w:marRight w:val="0"/>
      <w:marTop w:val="0"/>
      <w:marBottom w:val="0"/>
      <w:divBdr>
        <w:top w:val="none" w:sz="0" w:space="0" w:color="auto"/>
        <w:left w:val="none" w:sz="0" w:space="0" w:color="auto"/>
        <w:bottom w:val="none" w:sz="0" w:space="0" w:color="auto"/>
        <w:right w:val="none" w:sz="0" w:space="0" w:color="auto"/>
      </w:divBdr>
    </w:div>
    <w:div w:id="1293753629">
      <w:bodyDiv w:val="1"/>
      <w:marLeft w:val="0"/>
      <w:marRight w:val="0"/>
      <w:marTop w:val="0"/>
      <w:marBottom w:val="0"/>
      <w:divBdr>
        <w:top w:val="none" w:sz="0" w:space="0" w:color="auto"/>
        <w:left w:val="none" w:sz="0" w:space="0" w:color="auto"/>
        <w:bottom w:val="none" w:sz="0" w:space="0" w:color="auto"/>
        <w:right w:val="none" w:sz="0" w:space="0" w:color="auto"/>
      </w:divBdr>
    </w:div>
    <w:div w:id="1320498365">
      <w:bodyDiv w:val="1"/>
      <w:marLeft w:val="0"/>
      <w:marRight w:val="0"/>
      <w:marTop w:val="0"/>
      <w:marBottom w:val="0"/>
      <w:divBdr>
        <w:top w:val="none" w:sz="0" w:space="0" w:color="auto"/>
        <w:left w:val="none" w:sz="0" w:space="0" w:color="auto"/>
        <w:bottom w:val="none" w:sz="0" w:space="0" w:color="auto"/>
        <w:right w:val="none" w:sz="0" w:space="0" w:color="auto"/>
      </w:divBdr>
      <w:divsChild>
        <w:div w:id="1976793462">
          <w:marLeft w:val="0"/>
          <w:marRight w:val="0"/>
          <w:marTop w:val="0"/>
          <w:marBottom w:val="0"/>
          <w:divBdr>
            <w:top w:val="none" w:sz="0" w:space="0" w:color="auto"/>
            <w:left w:val="none" w:sz="0" w:space="0" w:color="auto"/>
            <w:bottom w:val="none" w:sz="0" w:space="0" w:color="auto"/>
            <w:right w:val="none" w:sz="0" w:space="0" w:color="auto"/>
          </w:divBdr>
        </w:div>
      </w:divsChild>
    </w:div>
    <w:div w:id="1320616295">
      <w:bodyDiv w:val="1"/>
      <w:marLeft w:val="0"/>
      <w:marRight w:val="0"/>
      <w:marTop w:val="0"/>
      <w:marBottom w:val="0"/>
      <w:divBdr>
        <w:top w:val="none" w:sz="0" w:space="0" w:color="auto"/>
        <w:left w:val="none" w:sz="0" w:space="0" w:color="auto"/>
        <w:bottom w:val="none" w:sz="0" w:space="0" w:color="auto"/>
        <w:right w:val="none" w:sz="0" w:space="0" w:color="auto"/>
      </w:divBdr>
    </w:div>
    <w:div w:id="1350911186">
      <w:bodyDiv w:val="1"/>
      <w:marLeft w:val="0"/>
      <w:marRight w:val="0"/>
      <w:marTop w:val="0"/>
      <w:marBottom w:val="0"/>
      <w:divBdr>
        <w:top w:val="none" w:sz="0" w:space="0" w:color="auto"/>
        <w:left w:val="none" w:sz="0" w:space="0" w:color="auto"/>
        <w:bottom w:val="none" w:sz="0" w:space="0" w:color="auto"/>
        <w:right w:val="none" w:sz="0" w:space="0" w:color="auto"/>
      </w:divBdr>
      <w:divsChild>
        <w:div w:id="1389643473">
          <w:marLeft w:val="0"/>
          <w:marRight w:val="0"/>
          <w:marTop w:val="0"/>
          <w:marBottom w:val="0"/>
          <w:divBdr>
            <w:top w:val="none" w:sz="0" w:space="0" w:color="auto"/>
            <w:left w:val="none" w:sz="0" w:space="0" w:color="auto"/>
            <w:bottom w:val="none" w:sz="0" w:space="0" w:color="auto"/>
            <w:right w:val="none" w:sz="0" w:space="0" w:color="auto"/>
          </w:divBdr>
        </w:div>
      </w:divsChild>
    </w:div>
    <w:div w:id="1440759509">
      <w:bodyDiv w:val="1"/>
      <w:marLeft w:val="0"/>
      <w:marRight w:val="0"/>
      <w:marTop w:val="0"/>
      <w:marBottom w:val="0"/>
      <w:divBdr>
        <w:top w:val="none" w:sz="0" w:space="0" w:color="auto"/>
        <w:left w:val="none" w:sz="0" w:space="0" w:color="auto"/>
        <w:bottom w:val="none" w:sz="0" w:space="0" w:color="auto"/>
        <w:right w:val="none" w:sz="0" w:space="0" w:color="auto"/>
      </w:divBdr>
    </w:div>
    <w:div w:id="1462646714">
      <w:bodyDiv w:val="1"/>
      <w:marLeft w:val="0"/>
      <w:marRight w:val="0"/>
      <w:marTop w:val="0"/>
      <w:marBottom w:val="0"/>
      <w:divBdr>
        <w:top w:val="none" w:sz="0" w:space="0" w:color="auto"/>
        <w:left w:val="none" w:sz="0" w:space="0" w:color="auto"/>
        <w:bottom w:val="none" w:sz="0" w:space="0" w:color="auto"/>
        <w:right w:val="none" w:sz="0" w:space="0" w:color="auto"/>
      </w:divBdr>
      <w:divsChild>
        <w:div w:id="1246958262">
          <w:marLeft w:val="0"/>
          <w:marRight w:val="0"/>
          <w:marTop w:val="0"/>
          <w:marBottom w:val="0"/>
          <w:divBdr>
            <w:top w:val="none" w:sz="0" w:space="0" w:color="auto"/>
            <w:left w:val="none" w:sz="0" w:space="0" w:color="auto"/>
            <w:bottom w:val="none" w:sz="0" w:space="0" w:color="auto"/>
            <w:right w:val="none" w:sz="0" w:space="0" w:color="auto"/>
          </w:divBdr>
        </w:div>
      </w:divsChild>
    </w:div>
    <w:div w:id="1488204149">
      <w:bodyDiv w:val="1"/>
      <w:marLeft w:val="0"/>
      <w:marRight w:val="0"/>
      <w:marTop w:val="0"/>
      <w:marBottom w:val="0"/>
      <w:divBdr>
        <w:top w:val="none" w:sz="0" w:space="0" w:color="auto"/>
        <w:left w:val="none" w:sz="0" w:space="0" w:color="auto"/>
        <w:bottom w:val="none" w:sz="0" w:space="0" w:color="auto"/>
        <w:right w:val="none" w:sz="0" w:space="0" w:color="auto"/>
      </w:divBdr>
    </w:div>
    <w:div w:id="1535145705">
      <w:bodyDiv w:val="1"/>
      <w:marLeft w:val="0"/>
      <w:marRight w:val="0"/>
      <w:marTop w:val="0"/>
      <w:marBottom w:val="0"/>
      <w:divBdr>
        <w:top w:val="none" w:sz="0" w:space="0" w:color="auto"/>
        <w:left w:val="none" w:sz="0" w:space="0" w:color="auto"/>
        <w:bottom w:val="none" w:sz="0" w:space="0" w:color="auto"/>
        <w:right w:val="none" w:sz="0" w:space="0" w:color="auto"/>
      </w:divBdr>
      <w:divsChild>
        <w:div w:id="371543595">
          <w:marLeft w:val="547"/>
          <w:marRight w:val="0"/>
          <w:marTop w:val="0"/>
          <w:marBottom w:val="0"/>
          <w:divBdr>
            <w:top w:val="none" w:sz="0" w:space="0" w:color="auto"/>
            <w:left w:val="none" w:sz="0" w:space="0" w:color="auto"/>
            <w:bottom w:val="none" w:sz="0" w:space="0" w:color="auto"/>
            <w:right w:val="none" w:sz="0" w:space="0" w:color="auto"/>
          </w:divBdr>
        </w:div>
        <w:div w:id="1667391953">
          <w:marLeft w:val="547"/>
          <w:marRight w:val="0"/>
          <w:marTop w:val="0"/>
          <w:marBottom w:val="0"/>
          <w:divBdr>
            <w:top w:val="none" w:sz="0" w:space="0" w:color="auto"/>
            <w:left w:val="none" w:sz="0" w:space="0" w:color="auto"/>
            <w:bottom w:val="none" w:sz="0" w:space="0" w:color="auto"/>
            <w:right w:val="none" w:sz="0" w:space="0" w:color="auto"/>
          </w:divBdr>
        </w:div>
      </w:divsChild>
    </w:div>
    <w:div w:id="1537616763">
      <w:bodyDiv w:val="1"/>
      <w:marLeft w:val="0"/>
      <w:marRight w:val="0"/>
      <w:marTop w:val="0"/>
      <w:marBottom w:val="0"/>
      <w:divBdr>
        <w:top w:val="none" w:sz="0" w:space="0" w:color="auto"/>
        <w:left w:val="none" w:sz="0" w:space="0" w:color="auto"/>
        <w:bottom w:val="none" w:sz="0" w:space="0" w:color="auto"/>
        <w:right w:val="none" w:sz="0" w:space="0" w:color="auto"/>
      </w:divBdr>
    </w:div>
    <w:div w:id="1557738026">
      <w:bodyDiv w:val="1"/>
      <w:marLeft w:val="0"/>
      <w:marRight w:val="0"/>
      <w:marTop w:val="0"/>
      <w:marBottom w:val="0"/>
      <w:divBdr>
        <w:top w:val="none" w:sz="0" w:space="0" w:color="auto"/>
        <w:left w:val="none" w:sz="0" w:space="0" w:color="auto"/>
        <w:bottom w:val="none" w:sz="0" w:space="0" w:color="auto"/>
        <w:right w:val="none" w:sz="0" w:space="0" w:color="auto"/>
      </w:divBdr>
    </w:div>
    <w:div w:id="1577089572">
      <w:bodyDiv w:val="1"/>
      <w:marLeft w:val="0"/>
      <w:marRight w:val="0"/>
      <w:marTop w:val="0"/>
      <w:marBottom w:val="0"/>
      <w:divBdr>
        <w:top w:val="none" w:sz="0" w:space="0" w:color="auto"/>
        <w:left w:val="none" w:sz="0" w:space="0" w:color="auto"/>
        <w:bottom w:val="none" w:sz="0" w:space="0" w:color="auto"/>
        <w:right w:val="none" w:sz="0" w:space="0" w:color="auto"/>
      </w:divBdr>
    </w:div>
    <w:div w:id="1593204919">
      <w:bodyDiv w:val="1"/>
      <w:marLeft w:val="0"/>
      <w:marRight w:val="0"/>
      <w:marTop w:val="0"/>
      <w:marBottom w:val="0"/>
      <w:divBdr>
        <w:top w:val="none" w:sz="0" w:space="0" w:color="auto"/>
        <w:left w:val="none" w:sz="0" w:space="0" w:color="auto"/>
        <w:bottom w:val="none" w:sz="0" w:space="0" w:color="auto"/>
        <w:right w:val="none" w:sz="0" w:space="0" w:color="auto"/>
      </w:divBdr>
    </w:div>
    <w:div w:id="1605305159">
      <w:bodyDiv w:val="1"/>
      <w:marLeft w:val="0"/>
      <w:marRight w:val="0"/>
      <w:marTop w:val="0"/>
      <w:marBottom w:val="0"/>
      <w:divBdr>
        <w:top w:val="none" w:sz="0" w:space="0" w:color="auto"/>
        <w:left w:val="none" w:sz="0" w:space="0" w:color="auto"/>
        <w:bottom w:val="none" w:sz="0" w:space="0" w:color="auto"/>
        <w:right w:val="none" w:sz="0" w:space="0" w:color="auto"/>
      </w:divBdr>
    </w:div>
    <w:div w:id="1618682279">
      <w:bodyDiv w:val="1"/>
      <w:marLeft w:val="0"/>
      <w:marRight w:val="0"/>
      <w:marTop w:val="0"/>
      <w:marBottom w:val="0"/>
      <w:divBdr>
        <w:top w:val="none" w:sz="0" w:space="0" w:color="auto"/>
        <w:left w:val="none" w:sz="0" w:space="0" w:color="auto"/>
        <w:bottom w:val="none" w:sz="0" w:space="0" w:color="auto"/>
        <w:right w:val="none" w:sz="0" w:space="0" w:color="auto"/>
      </w:divBdr>
      <w:divsChild>
        <w:div w:id="309213244">
          <w:marLeft w:val="0"/>
          <w:marRight w:val="0"/>
          <w:marTop w:val="0"/>
          <w:marBottom w:val="0"/>
          <w:divBdr>
            <w:top w:val="none" w:sz="0" w:space="0" w:color="auto"/>
            <w:left w:val="none" w:sz="0" w:space="0" w:color="auto"/>
            <w:bottom w:val="none" w:sz="0" w:space="0" w:color="auto"/>
            <w:right w:val="none" w:sz="0" w:space="0" w:color="auto"/>
          </w:divBdr>
        </w:div>
        <w:div w:id="660306242">
          <w:marLeft w:val="0"/>
          <w:marRight w:val="0"/>
          <w:marTop w:val="0"/>
          <w:marBottom w:val="0"/>
          <w:divBdr>
            <w:top w:val="none" w:sz="0" w:space="0" w:color="auto"/>
            <w:left w:val="none" w:sz="0" w:space="0" w:color="auto"/>
            <w:bottom w:val="none" w:sz="0" w:space="0" w:color="auto"/>
            <w:right w:val="none" w:sz="0" w:space="0" w:color="auto"/>
          </w:divBdr>
        </w:div>
        <w:div w:id="1776749670">
          <w:marLeft w:val="0"/>
          <w:marRight w:val="0"/>
          <w:marTop w:val="0"/>
          <w:marBottom w:val="0"/>
          <w:divBdr>
            <w:top w:val="none" w:sz="0" w:space="0" w:color="auto"/>
            <w:left w:val="none" w:sz="0" w:space="0" w:color="auto"/>
            <w:bottom w:val="none" w:sz="0" w:space="0" w:color="auto"/>
            <w:right w:val="none" w:sz="0" w:space="0" w:color="auto"/>
          </w:divBdr>
        </w:div>
        <w:div w:id="1826816469">
          <w:marLeft w:val="0"/>
          <w:marRight w:val="0"/>
          <w:marTop w:val="0"/>
          <w:marBottom w:val="0"/>
          <w:divBdr>
            <w:top w:val="none" w:sz="0" w:space="0" w:color="auto"/>
            <w:left w:val="none" w:sz="0" w:space="0" w:color="auto"/>
            <w:bottom w:val="none" w:sz="0" w:space="0" w:color="auto"/>
            <w:right w:val="none" w:sz="0" w:space="0" w:color="auto"/>
          </w:divBdr>
        </w:div>
        <w:div w:id="2024628163">
          <w:marLeft w:val="0"/>
          <w:marRight w:val="0"/>
          <w:marTop w:val="0"/>
          <w:marBottom w:val="0"/>
          <w:divBdr>
            <w:top w:val="none" w:sz="0" w:space="0" w:color="auto"/>
            <w:left w:val="none" w:sz="0" w:space="0" w:color="auto"/>
            <w:bottom w:val="none" w:sz="0" w:space="0" w:color="auto"/>
            <w:right w:val="none" w:sz="0" w:space="0" w:color="auto"/>
          </w:divBdr>
        </w:div>
      </w:divsChild>
    </w:div>
    <w:div w:id="1619601073">
      <w:bodyDiv w:val="1"/>
      <w:marLeft w:val="0"/>
      <w:marRight w:val="0"/>
      <w:marTop w:val="0"/>
      <w:marBottom w:val="0"/>
      <w:divBdr>
        <w:top w:val="none" w:sz="0" w:space="0" w:color="auto"/>
        <w:left w:val="none" w:sz="0" w:space="0" w:color="auto"/>
        <w:bottom w:val="none" w:sz="0" w:space="0" w:color="auto"/>
        <w:right w:val="none" w:sz="0" w:space="0" w:color="auto"/>
      </w:divBdr>
      <w:divsChild>
        <w:div w:id="869608470">
          <w:marLeft w:val="0"/>
          <w:marRight w:val="0"/>
          <w:marTop w:val="0"/>
          <w:marBottom w:val="0"/>
          <w:divBdr>
            <w:top w:val="none" w:sz="0" w:space="0" w:color="auto"/>
            <w:left w:val="none" w:sz="0" w:space="0" w:color="auto"/>
            <w:bottom w:val="none" w:sz="0" w:space="0" w:color="auto"/>
            <w:right w:val="none" w:sz="0" w:space="0" w:color="auto"/>
          </w:divBdr>
        </w:div>
        <w:div w:id="1448037013">
          <w:marLeft w:val="0"/>
          <w:marRight w:val="0"/>
          <w:marTop w:val="0"/>
          <w:marBottom w:val="0"/>
          <w:divBdr>
            <w:top w:val="none" w:sz="0" w:space="0" w:color="auto"/>
            <w:left w:val="none" w:sz="0" w:space="0" w:color="auto"/>
            <w:bottom w:val="none" w:sz="0" w:space="0" w:color="auto"/>
            <w:right w:val="none" w:sz="0" w:space="0" w:color="auto"/>
          </w:divBdr>
        </w:div>
      </w:divsChild>
    </w:div>
    <w:div w:id="1621690641">
      <w:bodyDiv w:val="1"/>
      <w:marLeft w:val="0"/>
      <w:marRight w:val="0"/>
      <w:marTop w:val="0"/>
      <w:marBottom w:val="0"/>
      <w:divBdr>
        <w:top w:val="none" w:sz="0" w:space="0" w:color="auto"/>
        <w:left w:val="none" w:sz="0" w:space="0" w:color="auto"/>
        <w:bottom w:val="none" w:sz="0" w:space="0" w:color="auto"/>
        <w:right w:val="none" w:sz="0" w:space="0" w:color="auto"/>
      </w:divBdr>
      <w:divsChild>
        <w:div w:id="1534659380">
          <w:marLeft w:val="0"/>
          <w:marRight w:val="0"/>
          <w:marTop w:val="0"/>
          <w:marBottom w:val="0"/>
          <w:divBdr>
            <w:top w:val="none" w:sz="0" w:space="0" w:color="auto"/>
            <w:left w:val="none" w:sz="0" w:space="0" w:color="auto"/>
            <w:bottom w:val="none" w:sz="0" w:space="0" w:color="auto"/>
            <w:right w:val="none" w:sz="0" w:space="0" w:color="auto"/>
          </w:divBdr>
        </w:div>
      </w:divsChild>
    </w:div>
    <w:div w:id="1655337356">
      <w:bodyDiv w:val="1"/>
      <w:marLeft w:val="0"/>
      <w:marRight w:val="0"/>
      <w:marTop w:val="0"/>
      <w:marBottom w:val="0"/>
      <w:divBdr>
        <w:top w:val="none" w:sz="0" w:space="0" w:color="auto"/>
        <w:left w:val="none" w:sz="0" w:space="0" w:color="auto"/>
        <w:bottom w:val="none" w:sz="0" w:space="0" w:color="auto"/>
        <w:right w:val="none" w:sz="0" w:space="0" w:color="auto"/>
      </w:divBdr>
    </w:div>
    <w:div w:id="1671909379">
      <w:bodyDiv w:val="1"/>
      <w:marLeft w:val="0"/>
      <w:marRight w:val="0"/>
      <w:marTop w:val="0"/>
      <w:marBottom w:val="0"/>
      <w:divBdr>
        <w:top w:val="none" w:sz="0" w:space="0" w:color="auto"/>
        <w:left w:val="none" w:sz="0" w:space="0" w:color="auto"/>
        <w:bottom w:val="none" w:sz="0" w:space="0" w:color="auto"/>
        <w:right w:val="none" w:sz="0" w:space="0" w:color="auto"/>
      </w:divBdr>
    </w:div>
    <w:div w:id="1683782062">
      <w:bodyDiv w:val="1"/>
      <w:marLeft w:val="0"/>
      <w:marRight w:val="0"/>
      <w:marTop w:val="0"/>
      <w:marBottom w:val="0"/>
      <w:divBdr>
        <w:top w:val="none" w:sz="0" w:space="0" w:color="auto"/>
        <w:left w:val="none" w:sz="0" w:space="0" w:color="auto"/>
        <w:bottom w:val="none" w:sz="0" w:space="0" w:color="auto"/>
        <w:right w:val="none" w:sz="0" w:space="0" w:color="auto"/>
      </w:divBdr>
      <w:divsChild>
        <w:div w:id="1150365875">
          <w:marLeft w:val="0"/>
          <w:marRight w:val="0"/>
          <w:marTop w:val="0"/>
          <w:marBottom w:val="0"/>
          <w:divBdr>
            <w:top w:val="none" w:sz="0" w:space="0" w:color="auto"/>
            <w:left w:val="none" w:sz="0" w:space="0" w:color="auto"/>
            <w:bottom w:val="none" w:sz="0" w:space="0" w:color="auto"/>
            <w:right w:val="none" w:sz="0" w:space="0" w:color="auto"/>
          </w:divBdr>
        </w:div>
      </w:divsChild>
    </w:div>
    <w:div w:id="1734084509">
      <w:bodyDiv w:val="1"/>
      <w:marLeft w:val="0"/>
      <w:marRight w:val="0"/>
      <w:marTop w:val="0"/>
      <w:marBottom w:val="0"/>
      <w:divBdr>
        <w:top w:val="none" w:sz="0" w:space="0" w:color="auto"/>
        <w:left w:val="none" w:sz="0" w:space="0" w:color="auto"/>
        <w:bottom w:val="none" w:sz="0" w:space="0" w:color="auto"/>
        <w:right w:val="none" w:sz="0" w:space="0" w:color="auto"/>
      </w:divBdr>
    </w:div>
    <w:div w:id="1786927435">
      <w:bodyDiv w:val="1"/>
      <w:marLeft w:val="0"/>
      <w:marRight w:val="0"/>
      <w:marTop w:val="0"/>
      <w:marBottom w:val="0"/>
      <w:divBdr>
        <w:top w:val="none" w:sz="0" w:space="0" w:color="auto"/>
        <w:left w:val="none" w:sz="0" w:space="0" w:color="auto"/>
        <w:bottom w:val="none" w:sz="0" w:space="0" w:color="auto"/>
        <w:right w:val="none" w:sz="0" w:space="0" w:color="auto"/>
      </w:divBdr>
      <w:divsChild>
        <w:div w:id="346250516">
          <w:marLeft w:val="432"/>
          <w:marRight w:val="0"/>
          <w:marTop w:val="134"/>
          <w:marBottom w:val="0"/>
          <w:divBdr>
            <w:top w:val="none" w:sz="0" w:space="0" w:color="auto"/>
            <w:left w:val="none" w:sz="0" w:space="0" w:color="auto"/>
            <w:bottom w:val="none" w:sz="0" w:space="0" w:color="auto"/>
            <w:right w:val="none" w:sz="0" w:space="0" w:color="auto"/>
          </w:divBdr>
        </w:div>
        <w:div w:id="797793999">
          <w:marLeft w:val="432"/>
          <w:marRight w:val="0"/>
          <w:marTop w:val="134"/>
          <w:marBottom w:val="0"/>
          <w:divBdr>
            <w:top w:val="none" w:sz="0" w:space="0" w:color="auto"/>
            <w:left w:val="none" w:sz="0" w:space="0" w:color="auto"/>
            <w:bottom w:val="none" w:sz="0" w:space="0" w:color="auto"/>
            <w:right w:val="none" w:sz="0" w:space="0" w:color="auto"/>
          </w:divBdr>
        </w:div>
        <w:div w:id="1121073075">
          <w:marLeft w:val="432"/>
          <w:marRight w:val="0"/>
          <w:marTop w:val="134"/>
          <w:marBottom w:val="0"/>
          <w:divBdr>
            <w:top w:val="none" w:sz="0" w:space="0" w:color="auto"/>
            <w:left w:val="none" w:sz="0" w:space="0" w:color="auto"/>
            <w:bottom w:val="none" w:sz="0" w:space="0" w:color="auto"/>
            <w:right w:val="none" w:sz="0" w:space="0" w:color="auto"/>
          </w:divBdr>
        </w:div>
        <w:div w:id="1285843161">
          <w:marLeft w:val="432"/>
          <w:marRight w:val="0"/>
          <w:marTop w:val="134"/>
          <w:marBottom w:val="0"/>
          <w:divBdr>
            <w:top w:val="none" w:sz="0" w:space="0" w:color="auto"/>
            <w:left w:val="none" w:sz="0" w:space="0" w:color="auto"/>
            <w:bottom w:val="none" w:sz="0" w:space="0" w:color="auto"/>
            <w:right w:val="none" w:sz="0" w:space="0" w:color="auto"/>
          </w:divBdr>
        </w:div>
        <w:div w:id="1633094322">
          <w:marLeft w:val="432"/>
          <w:marRight w:val="0"/>
          <w:marTop w:val="134"/>
          <w:marBottom w:val="0"/>
          <w:divBdr>
            <w:top w:val="none" w:sz="0" w:space="0" w:color="auto"/>
            <w:left w:val="none" w:sz="0" w:space="0" w:color="auto"/>
            <w:bottom w:val="none" w:sz="0" w:space="0" w:color="auto"/>
            <w:right w:val="none" w:sz="0" w:space="0" w:color="auto"/>
          </w:divBdr>
        </w:div>
      </w:divsChild>
    </w:div>
    <w:div w:id="1805931378">
      <w:bodyDiv w:val="1"/>
      <w:marLeft w:val="0"/>
      <w:marRight w:val="0"/>
      <w:marTop w:val="0"/>
      <w:marBottom w:val="0"/>
      <w:divBdr>
        <w:top w:val="none" w:sz="0" w:space="0" w:color="auto"/>
        <w:left w:val="none" w:sz="0" w:space="0" w:color="auto"/>
        <w:bottom w:val="none" w:sz="0" w:space="0" w:color="auto"/>
        <w:right w:val="none" w:sz="0" w:space="0" w:color="auto"/>
      </w:divBdr>
      <w:divsChild>
        <w:div w:id="407506664">
          <w:marLeft w:val="360"/>
          <w:marRight w:val="0"/>
          <w:marTop w:val="200"/>
          <w:marBottom w:val="0"/>
          <w:divBdr>
            <w:top w:val="none" w:sz="0" w:space="0" w:color="auto"/>
            <w:left w:val="none" w:sz="0" w:space="0" w:color="auto"/>
            <w:bottom w:val="none" w:sz="0" w:space="0" w:color="auto"/>
            <w:right w:val="none" w:sz="0" w:space="0" w:color="auto"/>
          </w:divBdr>
        </w:div>
        <w:div w:id="660932878">
          <w:marLeft w:val="360"/>
          <w:marRight w:val="0"/>
          <w:marTop w:val="200"/>
          <w:marBottom w:val="0"/>
          <w:divBdr>
            <w:top w:val="none" w:sz="0" w:space="0" w:color="auto"/>
            <w:left w:val="none" w:sz="0" w:space="0" w:color="auto"/>
            <w:bottom w:val="none" w:sz="0" w:space="0" w:color="auto"/>
            <w:right w:val="none" w:sz="0" w:space="0" w:color="auto"/>
          </w:divBdr>
        </w:div>
        <w:div w:id="1276668462">
          <w:marLeft w:val="360"/>
          <w:marRight w:val="0"/>
          <w:marTop w:val="200"/>
          <w:marBottom w:val="0"/>
          <w:divBdr>
            <w:top w:val="none" w:sz="0" w:space="0" w:color="auto"/>
            <w:left w:val="none" w:sz="0" w:space="0" w:color="auto"/>
            <w:bottom w:val="none" w:sz="0" w:space="0" w:color="auto"/>
            <w:right w:val="none" w:sz="0" w:space="0" w:color="auto"/>
          </w:divBdr>
        </w:div>
        <w:div w:id="1752386940">
          <w:marLeft w:val="360"/>
          <w:marRight w:val="0"/>
          <w:marTop w:val="200"/>
          <w:marBottom w:val="0"/>
          <w:divBdr>
            <w:top w:val="none" w:sz="0" w:space="0" w:color="auto"/>
            <w:left w:val="none" w:sz="0" w:space="0" w:color="auto"/>
            <w:bottom w:val="none" w:sz="0" w:space="0" w:color="auto"/>
            <w:right w:val="none" w:sz="0" w:space="0" w:color="auto"/>
          </w:divBdr>
        </w:div>
        <w:div w:id="2022580022">
          <w:marLeft w:val="360"/>
          <w:marRight w:val="0"/>
          <w:marTop w:val="200"/>
          <w:marBottom w:val="0"/>
          <w:divBdr>
            <w:top w:val="none" w:sz="0" w:space="0" w:color="auto"/>
            <w:left w:val="none" w:sz="0" w:space="0" w:color="auto"/>
            <w:bottom w:val="none" w:sz="0" w:space="0" w:color="auto"/>
            <w:right w:val="none" w:sz="0" w:space="0" w:color="auto"/>
          </w:divBdr>
        </w:div>
      </w:divsChild>
    </w:div>
    <w:div w:id="1823695652">
      <w:bodyDiv w:val="1"/>
      <w:marLeft w:val="0"/>
      <w:marRight w:val="0"/>
      <w:marTop w:val="0"/>
      <w:marBottom w:val="0"/>
      <w:divBdr>
        <w:top w:val="none" w:sz="0" w:space="0" w:color="auto"/>
        <w:left w:val="none" w:sz="0" w:space="0" w:color="auto"/>
        <w:bottom w:val="none" w:sz="0" w:space="0" w:color="auto"/>
        <w:right w:val="none" w:sz="0" w:space="0" w:color="auto"/>
      </w:divBdr>
    </w:div>
    <w:div w:id="1830512753">
      <w:bodyDiv w:val="1"/>
      <w:marLeft w:val="0"/>
      <w:marRight w:val="0"/>
      <w:marTop w:val="0"/>
      <w:marBottom w:val="0"/>
      <w:divBdr>
        <w:top w:val="none" w:sz="0" w:space="0" w:color="auto"/>
        <w:left w:val="none" w:sz="0" w:space="0" w:color="auto"/>
        <w:bottom w:val="none" w:sz="0" w:space="0" w:color="auto"/>
        <w:right w:val="none" w:sz="0" w:space="0" w:color="auto"/>
      </w:divBdr>
    </w:div>
    <w:div w:id="1852790292">
      <w:bodyDiv w:val="1"/>
      <w:marLeft w:val="0"/>
      <w:marRight w:val="0"/>
      <w:marTop w:val="0"/>
      <w:marBottom w:val="0"/>
      <w:divBdr>
        <w:top w:val="none" w:sz="0" w:space="0" w:color="auto"/>
        <w:left w:val="none" w:sz="0" w:space="0" w:color="auto"/>
        <w:bottom w:val="none" w:sz="0" w:space="0" w:color="auto"/>
        <w:right w:val="none" w:sz="0" w:space="0" w:color="auto"/>
      </w:divBdr>
    </w:div>
    <w:div w:id="1860388738">
      <w:bodyDiv w:val="1"/>
      <w:marLeft w:val="0"/>
      <w:marRight w:val="0"/>
      <w:marTop w:val="0"/>
      <w:marBottom w:val="0"/>
      <w:divBdr>
        <w:top w:val="none" w:sz="0" w:space="0" w:color="auto"/>
        <w:left w:val="none" w:sz="0" w:space="0" w:color="auto"/>
        <w:bottom w:val="none" w:sz="0" w:space="0" w:color="auto"/>
        <w:right w:val="none" w:sz="0" w:space="0" w:color="auto"/>
      </w:divBdr>
    </w:div>
    <w:div w:id="1961380050">
      <w:bodyDiv w:val="1"/>
      <w:marLeft w:val="0"/>
      <w:marRight w:val="0"/>
      <w:marTop w:val="0"/>
      <w:marBottom w:val="0"/>
      <w:divBdr>
        <w:top w:val="none" w:sz="0" w:space="0" w:color="auto"/>
        <w:left w:val="none" w:sz="0" w:space="0" w:color="auto"/>
        <w:bottom w:val="none" w:sz="0" w:space="0" w:color="auto"/>
        <w:right w:val="none" w:sz="0" w:space="0" w:color="auto"/>
      </w:divBdr>
    </w:div>
    <w:div w:id="1980571510">
      <w:bodyDiv w:val="1"/>
      <w:marLeft w:val="0"/>
      <w:marRight w:val="0"/>
      <w:marTop w:val="0"/>
      <w:marBottom w:val="0"/>
      <w:divBdr>
        <w:top w:val="none" w:sz="0" w:space="0" w:color="auto"/>
        <w:left w:val="none" w:sz="0" w:space="0" w:color="auto"/>
        <w:bottom w:val="none" w:sz="0" w:space="0" w:color="auto"/>
        <w:right w:val="none" w:sz="0" w:space="0" w:color="auto"/>
      </w:divBdr>
    </w:div>
    <w:div w:id="2059697890">
      <w:bodyDiv w:val="1"/>
      <w:marLeft w:val="0"/>
      <w:marRight w:val="0"/>
      <w:marTop w:val="0"/>
      <w:marBottom w:val="0"/>
      <w:divBdr>
        <w:top w:val="none" w:sz="0" w:space="0" w:color="auto"/>
        <w:left w:val="none" w:sz="0" w:space="0" w:color="auto"/>
        <w:bottom w:val="none" w:sz="0" w:space="0" w:color="auto"/>
        <w:right w:val="none" w:sz="0" w:space="0" w:color="auto"/>
      </w:divBdr>
    </w:div>
    <w:div w:id="2106144641">
      <w:bodyDiv w:val="1"/>
      <w:marLeft w:val="0"/>
      <w:marRight w:val="0"/>
      <w:marTop w:val="0"/>
      <w:marBottom w:val="0"/>
      <w:divBdr>
        <w:top w:val="none" w:sz="0" w:space="0" w:color="auto"/>
        <w:left w:val="none" w:sz="0" w:space="0" w:color="auto"/>
        <w:bottom w:val="none" w:sz="0" w:space="0" w:color="auto"/>
        <w:right w:val="none" w:sz="0" w:space="0" w:color="auto"/>
      </w:divBdr>
      <w:divsChild>
        <w:div w:id="2045475298">
          <w:marLeft w:val="0"/>
          <w:marRight w:val="0"/>
          <w:marTop w:val="0"/>
          <w:marBottom w:val="0"/>
          <w:divBdr>
            <w:top w:val="none" w:sz="0" w:space="0" w:color="auto"/>
            <w:left w:val="none" w:sz="0" w:space="0" w:color="auto"/>
            <w:bottom w:val="none" w:sz="0" w:space="0" w:color="auto"/>
            <w:right w:val="none" w:sz="0" w:space="0" w:color="auto"/>
          </w:divBdr>
        </w:div>
      </w:divsChild>
    </w:div>
    <w:div w:id="21235732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ednet.ifrc.org/en/home/" TargetMode="External"/><Relationship Id="rId18" Type="http://schemas.openxmlformats.org/officeDocument/2006/relationships/hyperlink" Target="https://fednet.ifrc.org/FedNet/Resources_and_Services/Disasters/Disaster%20and%20crisis%20management/Response%20preparedness/Contingency%20planning%20guide.pdf" TargetMode="External"/><Relationship Id="rId26" Type="http://schemas.openxmlformats.org/officeDocument/2006/relationships/hyperlink" Target="https://media.ifrc.org/ifrc/wp-content/uploads/sites/5/2020/03/20191209_PER_FbF_to-share.pdf" TargetMode="External"/><Relationship Id="rId39" Type="http://schemas.openxmlformats.org/officeDocument/2006/relationships/hyperlink" Target="https://media.ifrc.org/ifrc/fba/" TargetMode="External"/><Relationship Id="rId21" Type="http://schemas.openxmlformats.org/officeDocument/2006/relationships/hyperlink" Target="https://www.humanitarianresponse.info/en/coordination/preparedness/erp-approach" TargetMode="External"/><Relationship Id="rId34" Type="http://schemas.openxmlformats.org/officeDocument/2006/relationships/image" Target="media/image4.jpg"/><Relationship Id="rId42" Type="http://schemas.openxmlformats.org/officeDocument/2006/relationships/hyperlink" Target="https://media.ifrc.org/ifrc/what-we-do-disaster-and-crisis-national-society-preparedness-effective-response/" TargetMode="External"/><Relationship Id="rId47" Type="http://schemas.openxmlformats.org/officeDocument/2006/relationships/hyperlink" Target="https://fednet.ifrc.org/FedNet/Resources_and_Services/Disasters/Disaster%20and%20crisis%20management/Response%20preparedness/Simulation/GES%20Simulation%20Guide%20v3.pdf" TargetMode="External"/><Relationship Id="rId50" Type="http://schemas.openxmlformats.org/officeDocument/2006/relationships/hyperlink" Target="https://fednet.ifrc.org/PageFiles/134068/Drought%20SimEx.zip" TargetMode="External"/><Relationship Id="rId55" Type="http://schemas.openxmlformats.org/officeDocument/2006/relationships/image" Target="media/image10.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pherestandards.org/handbook-2018/" TargetMode="External"/><Relationship Id="rId20" Type="http://schemas.openxmlformats.org/officeDocument/2006/relationships/hyperlink" Target="https://fr.smcctoolkit.org/" TargetMode="External"/><Relationship Id="rId29" Type="http://schemas.openxmlformats.org/officeDocument/2006/relationships/image" Target="media/image2.jpg"/><Relationship Id="rId41" Type="http://schemas.openxmlformats.org/officeDocument/2006/relationships/image" Target="media/image8.jpg"/><Relationship Id="rId54" Type="http://schemas.openxmlformats.org/officeDocument/2006/relationships/hyperlink" Target="https://fednet.ifrc.org/PageFiles/134068/Tsunami%20SimEx.zip"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ednet.ifrc.org/FedNet/Resources_and_Services/Disasters/Disaster%20and%20crisis%20management/Response%20preparedness/IFRC-Guide%20Planification%20Urgence-FR-LR.pdf" TargetMode="External"/><Relationship Id="rId24" Type="http://schemas.openxmlformats.org/officeDocument/2006/relationships/hyperlink" Target="https://media.ifrc.org/ifrc/what-we-do-disaster-and-crisis-national-society-preparedness-effective-response/" TargetMode="External"/><Relationship Id="rId32" Type="http://schemas.openxmlformats.org/officeDocument/2006/relationships/header" Target="header2.xml"/><Relationship Id="rId37" Type="http://schemas.openxmlformats.org/officeDocument/2006/relationships/image" Target="media/image6.jpg"/><Relationship Id="rId40" Type="http://schemas.openxmlformats.org/officeDocument/2006/relationships/image" Target="media/image7.jpg"/><Relationship Id="rId45" Type="http://schemas.openxmlformats.org/officeDocument/2006/relationships/hyperlink" Target="https://fednet.ifrc.org/FedNet/Resources_and_Services/Disasters/Disaster%20and%20crisis%20management/Response%20preparedness/Simulation/ECB%20simulations%20project%20-%20ToT%20participant%20workbook.pdf" TargetMode="External"/><Relationship Id="rId53" Type="http://schemas.openxmlformats.org/officeDocument/2006/relationships/hyperlink" Target="https://fednet.ifrc.org/PageFiles/134068/Flood%20SimEx.zip" TargetMode="External"/><Relationship Id="rId58"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hyperlink" Target="https://app.powerbi.com/view?r=eyJrIjoiNzRhMWFkMmItODA1OC00NzdiLTk2NTItZDM5NjA1Y2ViOWQ1IiwidCI6IjIyMmM0ZDE1LTA3ZmMtNDZhNi04ZTJjLTk0NDY0OTIxNmVjZCIsImMiOjN9" TargetMode="External"/><Relationship Id="rId23" Type="http://schemas.openxmlformats.org/officeDocument/2006/relationships/hyperlink" Target="https://ifrcorg.sharepoint.com/:f:/s/IFRCSharing/EkXz9jHbDANPgSzK3_oH52sBpO4CqbiYzsY58f4k9TYe5A?e=Phn4KZ" TargetMode="External"/><Relationship Id="rId28" Type="http://schemas.openxmlformats.org/officeDocument/2006/relationships/hyperlink" Target="https://preparecenter.org/resource/explanatory-note-business-continuity-plan-contingency-plan-and-emergency-plan-action/" TargetMode="External"/><Relationship Id="rId36" Type="http://schemas.openxmlformats.org/officeDocument/2006/relationships/hyperlink" Target="https://preparecenter.org/wp-content/uploads/2020/10/Business-Continuity-Planning-template-v5_EN.docx" TargetMode="External"/><Relationship Id="rId49" Type="http://schemas.openxmlformats.org/officeDocument/2006/relationships/hyperlink" Target="https://fednet.ifrc.org/PageFiles/134068/SimEx%20Mastercopies_DO%20NOT%20MODIFY.zip" TargetMode="External"/><Relationship Id="rId57" Type="http://schemas.openxmlformats.org/officeDocument/2006/relationships/hyperlink" Target="https://manual.forecast-based-financing.org/" TargetMode="External"/><Relationship Id="rId61" Type="http://schemas.openxmlformats.org/officeDocument/2006/relationships/hyperlink" Target="https://app.powerbi.com/view?r=eyJrIjoiMmEwZDIwMmQtOThiMy00ZDE0LWExYjUtZGFlZWViODdhZWIxIiwidCI6IjIyMmM0ZDE1LTA3ZmMtNDZhNi04ZTJjLTk0NDY0OTIxNmVjZCIsImMiOjN9" TargetMode="External"/><Relationship Id="rId10" Type="http://schemas.openxmlformats.org/officeDocument/2006/relationships/endnotes" Target="endnotes.xml"/><Relationship Id="rId19" Type="http://schemas.openxmlformats.org/officeDocument/2006/relationships/hyperlink" Target="https://media.ifrc.org/ifrc/document/politique-relative-la-gestion-des-risques-de-catastrophe/?lang=fr" TargetMode="External"/><Relationship Id="rId31" Type="http://schemas.openxmlformats.org/officeDocument/2006/relationships/footer" Target="footer1.xml"/><Relationship Id="rId44" Type="http://schemas.openxmlformats.org/officeDocument/2006/relationships/hyperlink" Target="https://media.ifrc.org/ifrc/fba/" TargetMode="External"/><Relationship Id="rId52" Type="http://schemas.openxmlformats.org/officeDocument/2006/relationships/hyperlink" Target="https://fednet.ifrc.org/PageFiles/134068/Epidemic%20SimEx.zip" TargetMode="External"/><Relationship Id="rId60" Type="http://schemas.openxmlformats.org/officeDocument/2006/relationships/hyperlink" Target="https://www.ifrc.org/Global/Publications/monitoring/IFRC-ME-Guide-8-2011.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crc.org/en/resource-centre" TargetMode="External"/><Relationship Id="rId22" Type="http://schemas.openxmlformats.org/officeDocument/2006/relationships/image" Target="media/image1.png"/><Relationship Id="rId27" Type="http://schemas.openxmlformats.org/officeDocument/2006/relationships/hyperlink" Target="https://preparecenter.org/resource/business-continuity-planning-template-for-national-societies/" TargetMode="External"/><Relationship Id="rId30" Type="http://schemas.openxmlformats.org/officeDocument/2006/relationships/header" Target="header1.xml"/><Relationship Id="rId35" Type="http://schemas.openxmlformats.org/officeDocument/2006/relationships/image" Target="media/image5.jpg"/><Relationship Id="rId43" Type="http://schemas.openxmlformats.org/officeDocument/2006/relationships/image" Target="media/image9.png"/><Relationship Id="rId48" Type="http://schemas.openxmlformats.org/officeDocument/2006/relationships/hyperlink" Target="https://ifrcorg.sharepoint.com/:w:/s/IFRCSharing/EVCrYtuHd_dHsXe48850ztEB-fdA-PEsM39GzzZNEQyanA?e=rMErxp" TargetMode="External"/><Relationship Id="rId56" Type="http://schemas.openxmlformats.org/officeDocument/2006/relationships/hyperlink" Target="https://media.ifrc.org/ifrc/fba/" TargetMode="External"/><Relationship Id="rId8" Type="http://schemas.openxmlformats.org/officeDocument/2006/relationships/webSettings" Target="webSettings.xml"/><Relationship Id="rId51" Type="http://schemas.openxmlformats.org/officeDocument/2006/relationships/hyperlink" Target="https://fednet.ifrc.org/PageFiles/134068/Earthquake%20SimEx.zip" TargetMode="External"/><Relationship Id="rId3" Type="http://schemas.openxmlformats.org/officeDocument/2006/relationships/customXml" Target="../customXml/item3.xml"/><Relationship Id="rId12" Type="http://schemas.openxmlformats.org/officeDocument/2006/relationships/hyperlink" Target="https://preparecenter.org/" TargetMode="External"/><Relationship Id="rId17" Type="http://schemas.openxmlformats.org/officeDocument/2006/relationships/hyperlink" Target="https://fr.smcctoolkit.org/" TargetMode="External"/><Relationship Id="rId25" Type="http://schemas.openxmlformats.org/officeDocument/2006/relationships/hyperlink" Target="https://www.forecast-based-financing.org/" TargetMode="External"/><Relationship Id="rId33" Type="http://schemas.openxmlformats.org/officeDocument/2006/relationships/hyperlink" Target="https://fr.smcctoolkit.org/" TargetMode="External"/><Relationship Id="rId38" Type="http://schemas.openxmlformats.org/officeDocument/2006/relationships/hyperlink" Target="https://media.ifrc.org/ifrc/what-we-do-disaster-and-crisis-national-society-preparedness-effective-response/" TargetMode="External"/><Relationship Id="rId46" Type="http://schemas.openxmlformats.org/officeDocument/2006/relationships/hyperlink" Target="https://www.dropbox.com/s/e01zxdgrbjy5s4i/Gu&#237;a%20Simulaciones%20y%20Simulacros%20English.pdf?dl=0" TargetMode="External"/><Relationship Id="rId59" Type="http://schemas.openxmlformats.org/officeDocument/2006/relationships/hyperlink" Target="https://www.ifrc.org/Global/Publications/monitoring/IFRC-Framework-for-Evaluation.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preventionweb.net/files/7817_UNISDRTerminologyFrench.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F0B81F92DC9F743AB69193ABF7D6812" ma:contentTypeVersion="8" ma:contentTypeDescription="Create a new document." ma:contentTypeScope="" ma:versionID="f4e581ed911f2ceb9148165195edf78d">
  <xsd:schema xmlns:xsd="http://www.w3.org/2001/XMLSchema" xmlns:xs="http://www.w3.org/2001/XMLSchema" xmlns:p="http://schemas.microsoft.com/office/2006/metadata/properties" xmlns:ns2="ece866b8-f57f-4e89-adfa-3780fda1f197" targetNamespace="http://schemas.microsoft.com/office/2006/metadata/properties" ma:root="true" ma:fieldsID="d35962292ae36941e9d0cb569bc4e7d2" ns2:_="">
    <xsd:import namespace="ece866b8-f57f-4e89-adfa-3780fda1f1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e866b8-f57f-4e89-adfa-3780fda1f1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2674524-FABC-4DED-B6E9-3B161BA01373}">
  <ds:schemaRefs>
    <ds:schemaRef ds:uri="http://schemas.microsoft.com/sharepoint/v3/contenttype/forms"/>
  </ds:schemaRefs>
</ds:datastoreItem>
</file>

<file path=customXml/itemProps2.xml><?xml version="1.0" encoding="utf-8"?>
<ds:datastoreItem xmlns:ds="http://schemas.openxmlformats.org/officeDocument/2006/customXml" ds:itemID="{10A3B528-B7FF-4A96-B4A5-F541A38D93D4}">
  <ds:schemaRefs>
    <ds:schemaRef ds:uri="http://schemas.openxmlformats.org/officeDocument/2006/bibliography"/>
  </ds:schemaRefs>
</ds:datastoreItem>
</file>

<file path=customXml/itemProps3.xml><?xml version="1.0" encoding="utf-8"?>
<ds:datastoreItem xmlns:ds="http://schemas.openxmlformats.org/officeDocument/2006/customXml" ds:itemID="{9CA50A99-23B5-44FB-84FC-6872D32E32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e866b8-f57f-4e89-adfa-3780fda1f1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E3C8A2-A253-4BF7-84BB-7891EB38F3B3}">
  <ds:schemaRefs>
    <ds:schemaRef ds:uri="ece866b8-f57f-4e89-adfa-3780fda1f197"/>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1039</TotalTime>
  <Pages>16</Pages>
  <Words>6885</Words>
  <Characters>39247</Characters>
  <Application>Microsoft Office Word</Application>
  <DocSecurity>0</DocSecurity>
  <Lines>327</Lines>
  <Paragraphs>92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46040</CharactersWithSpaces>
  <SharedDoc>false</SharedDoc>
  <HLinks>
    <vt:vector size="426" baseType="variant">
      <vt:variant>
        <vt:i4>3604599</vt:i4>
      </vt:variant>
      <vt:variant>
        <vt:i4>303</vt:i4>
      </vt:variant>
      <vt:variant>
        <vt:i4>0</vt:i4>
      </vt:variant>
      <vt:variant>
        <vt:i4>5</vt:i4>
      </vt:variant>
      <vt:variant>
        <vt:lpwstr>https://app.powerbi.com/view?r=eyJrIjoiMmEwZDIwMmQtOThiMy00ZDE0LWExYjUtZGFlZWViODdhZWIxIiwidCI6IjIyMmM0ZDE1LTA3ZmMtNDZhNi04ZTJjLTk0NDY0OTIxNmVjZCIsImMiOjN9</vt:lpwstr>
      </vt:variant>
      <vt:variant>
        <vt:lpwstr/>
      </vt:variant>
      <vt:variant>
        <vt:i4>1441878</vt:i4>
      </vt:variant>
      <vt:variant>
        <vt:i4>300</vt:i4>
      </vt:variant>
      <vt:variant>
        <vt:i4>0</vt:i4>
      </vt:variant>
      <vt:variant>
        <vt:i4>5</vt:i4>
      </vt:variant>
      <vt:variant>
        <vt:lpwstr>https://www.ifrc.org/Global/Publications/monitoring/IFRC-ME-Guide-8-2011.pdf</vt:lpwstr>
      </vt:variant>
      <vt:variant>
        <vt:lpwstr/>
      </vt:variant>
      <vt:variant>
        <vt:i4>131152</vt:i4>
      </vt:variant>
      <vt:variant>
        <vt:i4>297</vt:i4>
      </vt:variant>
      <vt:variant>
        <vt:i4>0</vt:i4>
      </vt:variant>
      <vt:variant>
        <vt:i4>5</vt:i4>
      </vt:variant>
      <vt:variant>
        <vt:lpwstr>https://www.ifrc.org/Global/Publications/monitoring/IFRC-Framework-for-Evaluation.pdf</vt:lpwstr>
      </vt:variant>
      <vt:variant>
        <vt:lpwstr/>
      </vt:variant>
      <vt:variant>
        <vt:i4>2031622</vt:i4>
      </vt:variant>
      <vt:variant>
        <vt:i4>294</vt:i4>
      </vt:variant>
      <vt:variant>
        <vt:i4>0</vt:i4>
      </vt:variant>
      <vt:variant>
        <vt:i4>5</vt:i4>
      </vt:variant>
      <vt:variant>
        <vt:lpwstr>https://manual.forecast-based-financing.org/</vt:lpwstr>
      </vt:variant>
      <vt:variant>
        <vt:lpwstr/>
      </vt:variant>
      <vt:variant>
        <vt:i4>4653122</vt:i4>
      </vt:variant>
      <vt:variant>
        <vt:i4>291</vt:i4>
      </vt:variant>
      <vt:variant>
        <vt:i4>0</vt:i4>
      </vt:variant>
      <vt:variant>
        <vt:i4>5</vt:i4>
      </vt:variant>
      <vt:variant>
        <vt:lpwstr>https://media.ifrc.org/ifrc/fba/</vt:lpwstr>
      </vt:variant>
      <vt:variant>
        <vt:lpwstr/>
      </vt:variant>
      <vt:variant>
        <vt:i4>8323181</vt:i4>
      </vt:variant>
      <vt:variant>
        <vt:i4>288</vt:i4>
      </vt:variant>
      <vt:variant>
        <vt:i4>0</vt:i4>
      </vt:variant>
      <vt:variant>
        <vt:i4>5</vt:i4>
      </vt:variant>
      <vt:variant>
        <vt:lpwstr>https://fednet.ifrc.org/PageFiles/134068/Tsunami SimEx.zip</vt:lpwstr>
      </vt:variant>
      <vt:variant>
        <vt:lpwstr/>
      </vt:variant>
      <vt:variant>
        <vt:i4>1769502</vt:i4>
      </vt:variant>
      <vt:variant>
        <vt:i4>285</vt:i4>
      </vt:variant>
      <vt:variant>
        <vt:i4>0</vt:i4>
      </vt:variant>
      <vt:variant>
        <vt:i4>5</vt:i4>
      </vt:variant>
      <vt:variant>
        <vt:lpwstr>https://fednet.ifrc.org/PageFiles/134068/Flood SimEx.zip</vt:lpwstr>
      </vt:variant>
      <vt:variant>
        <vt:lpwstr/>
      </vt:variant>
      <vt:variant>
        <vt:i4>7405680</vt:i4>
      </vt:variant>
      <vt:variant>
        <vt:i4>282</vt:i4>
      </vt:variant>
      <vt:variant>
        <vt:i4>0</vt:i4>
      </vt:variant>
      <vt:variant>
        <vt:i4>5</vt:i4>
      </vt:variant>
      <vt:variant>
        <vt:lpwstr>https://fednet.ifrc.org/PageFiles/134068/Epidemic SimEx.zip</vt:lpwstr>
      </vt:variant>
      <vt:variant>
        <vt:lpwstr/>
      </vt:variant>
      <vt:variant>
        <vt:i4>1048586</vt:i4>
      </vt:variant>
      <vt:variant>
        <vt:i4>279</vt:i4>
      </vt:variant>
      <vt:variant>
        <vt:i4>0</vt:i4>
      </vt:variant>
      <vt:variant>
        <vt:i4>5</vt:i4>
      </vt:variant>
      <vt:variant>
        <vt:lpwstr>https://fednet.ifrc.org/PageFiles/134068/Earthquake SimEx.zip</vt:lpwstr>
      </vt:variant>
      <vt:variant>
        <vt:lpwstr/>
      </vt:variant>
      <vt:variant>
        <vt:i4>7209074</vt:i4>
      </vt:variant>
      <vt:variant>
        <vt:i4>276</vt:i4>
      </vt:variant>
      <vt:variant>
        <vt:i4>0</vt:i4>
      </vt:variant>
      <vt:variant>
        <vt:i4>5</vt:i4>
      </vt:variant>
      <vt:variant>
        <vt:lpwstr>https://fednet.ifrc.org/PageFiles/134068/Drought SimEx.zip</vt:lpwstr>
      </vt:variant>
      <vt:variant>
        <vt:lpwstr/>
      </vt:variant>
      <vt:variant>
        <vt:i4>7536710</vt:i4>
      </vt:variant>
      <vt:variant>
        <vt:i4>273</vt:i4>
      </vt:variant>
      <vt:variant>
        <vt:i4>0</vt:i4>
      </vt:variant>
      <vt:variant>
        <vt:i4>5</vt:i4>
      </vt:variant>
      <vt:variant>
        <vt:lpwstr>https://fednet.ifrc.org/PageFiles/134068/SimEx Mastercopies_DO NOT MODIFY.zip</vt:lpwstr>
      </vt:variant>
      <vt:variant>
        <vt:lpwstr/>
      </vt:variant>
      <vt:variant>
        <vt:i4>2228327</vt:i4>
      </vt:variant>
      <vt:variant>
        <vt:i4>270</vt:i4>
      </vt:variant>
      <vt:variant>
        <vt:i4>0</vt:i4>
      </vt:variant>
      <vt:variant>
        <vt:i4>5</vt:i4>
      </vt:variant>
      <vt:variant>
        <vt:lpwstr>https://fednet.ifrc.org/PageFiles/134068/Guidebook, Template, Visual Explorer Tool.zip</vt:lpwstr>
      </vt:variant>
      <vt:variant>
        <vt:lpwstr/>
      </vt:variant>
      <vt:variant>
        <vt:i4>65568</vt:i4>
      </vt:variant>
      <vt:variant>
        <vt:i4>267</vt:i4>
      </vt:variant>
      <vt:variant>
        <vt:i4>0</vt:i4>
      </vt:variant>
      <vt:variant>
        <vt:i4>5</vt:i4>
      </vt:variant>
      <vt:variant>
        <vt:lpwstr>https://ifrcorg.sharepoint.com/:w:/s/IFRCSharing/EVCrYtuHd_dHsXe48850ztEB-fdA-PEsM39GzzZNEQyanA?e=rMErxp</vt:lpwstr>
      </vt:variant>
      <vt:variant>
        <vt:lpwstr/>
      </vt:variant>
      <vt:variant>
        <vt:i4>3539059</vt:i4>
      </vt:variant>
      <vt:variant>
        <vt:i4>264</vt:i4>
      </vt:variant>
      <vt:variant>
        <vt:i4>0</vt:i4>
      </vt:variant>
      <vt:variant>
        <vt:i4>5</vt:i4>
      </vt:variant>
      <vt:variant>
        <vt:lpwstr>https://fednet.ifrc.org/FedNet/Resources_and_Services/Disasters/Disaster and crisis management/Response preparedness/Simulation/GES Simulation Guide v3.pdf</vt:lpwstr>
      </vt:variant>
      <vt:variant>
        <vt:lpwstr/>
      </vt:variant>
      <vt:variant>
        <vt:i4>4391050</vt:i4>
      </vt:variant>
      <vt:variant>
        <vt:i4>261</vt:i4>
      </vt:variant>
      <vt:variant>
        <vt:i4>0</vt:i4>
      </vt:variant>
      <vt:variant>
        <vt:i4>5</vt:i4>
      </vt:variant>
      <vt:variant>
        <vt:lpwstr>https://www.dropbox.com/s/e01zxdgrbjy5s4i/Guía Simulaciones y Simulacros English.pdf?dl=0</vt:lpwstr>
      </vt:variant>
      <vt:variant>
        <vt:lpwstr/>
      </vt:variant>
      <vt:variant>
        <vt:i4>2949175</vt:i4>
      </vt:variant>
      <vt:variant>
        <vt:i4>258</vt:i4>
      </vt:variant>
      <vt:variant>
        <vt:i4>0</vt:i4>
      </vt:variant>
      <vt:variant>
        <vt:i4>5</vt:i4>
      </vt:variant>
      <vt:variant>
        <vt:lpwstr>https://fednet.ifrc.org/FedNet/Resources_and_Services/Disasters/Disaster and crisis management/Response preparedness/Simulation/ECB simulations project - ToT participant workbook.pdf</vt:lpwstr>
      </vt:variant>
      <vt:variant>
        <vt:lpwstr/>
      </vt:variant>
      <vt:variant>
        <vt:i4>4653122</vt:i4>
      </vt:variant>
      <vt:variant>
        <vt:i4>255</vt:i4>
      </vt:variant>
      <vt:variant>
        <vt:i4>0</vt:i4>
      </vt:variant>
      <vt:variant>
        <vt:i4>5</vt:i4>
      </vt:variant>
      <vt:variant>
        <vt:lpwstr>https://media.ifrc.org/ifrc/fba/</vt:lpwstr>
      </vt:variant>
      <vt:variant>
        <vt:lpwstr/>
      </vt:variant>
      <vt:variant>
        <vt:i4>262146</vt:i4>
      </vt:variant>
      <vt:variant>
        <vt:i4>252</vt:i4>
      </vt:variant>
      <vt:variant>
        <vt:i4>0</vt:i4>
      </vt:variant>
      <vt:variant>
        <vt:i4>5</vt:i4>
      </vt:variant>
      <vt:variant>
        <vt:lpwstr>https://media.ifrc.org/ifrc/what-we-do-disaster-and-crisis-national-society-preparedness-effective-response/</vt:lpwstr>
      </vt:variant>
      <vt:variant>
        <vt:lpwstr/>
      </vt:variant>
      <vt:variant>
        <vt:i4>4653122</vt:i4>
      </vt:variant>
      <vt:variant>
        <vt:i4>249</vt:i4>
      </vt:variant>
      <vt:variant>
        <vt:i4>0</vt:i4>
      </vt:variant>
      <vt:variant>
        <vt:i4>5</vt:i4>
      </vt:variant>
      <vt:variant>
        <vt:lpwstr>https://media.ifrc.org/ifrc/fba/</vt:lpwstr>
      </vt:variant>
      <vt:variant>
        <vt:lpwstr/>
      </vt:variant>
      <vt:variant>
        <vt:i4>262146</vt:i4>
      </vt:variant>
      <vt:variant>
        <vt:i4>246</vt:i4>
      </vt:variant>
      <vt:variant>
        <vt:i4>0</vt:i4>
      </vt:variant>
      <vt:variant>
        <vt:i4>5</vt:i4>
      </vt:variant>
      <vt:variant>
        <vt:lpwstr>https://media.ifrc.org/ifrc/what-we-do-disaster-and-crisis-national-society-preparedness-effective-response/</vt:lpwstr>
      </vt:variant>
      <vt:variant>
        <vt:lpwstr/>
      </vt:variant>
      <vt:variant>
        <vt:i4>2818051</vt:i4>
      </vt:variant>
      <vt:variant>
        <vt:i4>243</vt:i4>
      </vt:variant>
      <vt:variant>
        <vt:i4>0</vt:i4>
      </vt:variant>
      <vt:variant>
        <vt:i4>5</vt:i4>
      </vt:variant>
      <vt:variant>
        <vt:lpwstr>https://preparecenter.org/wp-content/uploads/2020/10/Business-Continuity-Planning-template-v5_EN.docx</vt:lpwstr>
      </vt:variant>
      <vt:variant>
        <vt:lpwstr/>
      </vt:variant>
      <vt:variant>
        <vt:i4>1703939</vt:i4>
      </vt:variant>
      <vt:variant>
        <vt:i4>240</vt:i4>
      </vt:variant>
      <vt:variant>
        <vt:i4>0</vt:i4>
      </vt:variant>
      <vt:variant>
        <vt:i4>5</vt:i4>
      </vt:variant>
      <vt:variant>
        <vt:lpwstr>https://smcctoolkit.org/tool-kit/</vt:lpwstr>
      </vt:variant>
      <vt:variant>
        <vt:lpwstr/>
      </vt:variant>
      <vt:variant>
        <vt:i4>8061019</vt:i4>
      </vt:variant>
      <vt:variant>
        <vt:i4>237</vt:i4>
      </vt:variant>
      <vt:variant>
        <vt:i4>0</vt:i4>
      </vt:variant>
      <vt:variant>
        <vt:i4>5</vt:i4>
      </vt:variant>
      <vt:variant>
        <vt:lpwstr>https://preparecenter.org/wp-content/sites/default/files/note_explicative-bcp-cp-epoa.pdf</vt:lpwstr>
      </vt:variant>
      <vt:variant>
        <vt:lpwstr/>
      </vt:variant>
      <vt:variant>
        <vt:i4>2818051</vt:i4>
      </vt:variant>
      <vt:variant>
        <vt:i4>234</vt:i4>
      </vt:variant>
      <vt:variant>
        <vt:i4>0</vt:i4>
      </vt:variant>
      <vt:variant>
        <vt:i4>5</vt:i4>
      </vt:variant>
      <vt:variant>
        <vt:lpwstr>https://preparecenter.org/wp-content/uploads/2020/10/Business-Continuity-Planning-template-v5_EN.docx</vt:lpwstr>
      </vt:variant>
      <vt:variant>
        <vt:lpwstr/>
      </vt:variant>
      <vt:variant>
        <vt:i4>6553611</vt:i4>
      </vt:variant>
      <vt:variant>
        <vt:i4>231</vt:i4>
      </vt:variant>
      <vt:variant>
        <vt:i4>0</vt:i4>
      </vt:variant>
      <vt:variant>
        <vt:i4>5</vt:i4>
      </vt:variant>
      <vt:variant>
        <vt:lpwstr>https://media.ifrc.org/ifrc/wp-content/uploads/sites/5/2020/03/20191209_PER_FbF_to-share.pdf</vt:lpwstr>
      </vt:variant>
      <vt:variant>
        <vt:lpwstr/>
      </vt:variant>
      <vt:variant>
        <vt:i4>4325401</vt:i4>
      </vt:variant>
      <vt:variant>
        <vt:i4>228</vt:i4>
      </vt:variant>
      <vt:variant>
        <vt:i4>0</vt:i4>
      </vt:variant>
      <vt:variant>
        <vt:i4>5</vt:i4>
      </vt:variant>
      <vt:variant>
        <vt:lpwstr>https://www.forecast-based-financing.org/</vt:lpwstr>
      </vt:variant>
      <vt:variant>
        <vt:lpwstr/>
      </vt:variant>
      <vt:variant>
        <vt:i4>262146</vt:i4>
      </vt:variant>
      <vt:variant>
        <vt:i4>225</vt:i4>
      </vt:variant>
      <vt:variant>
        <vt:i4>0</vt:i4>
      </vt:variant>
      <vt:variant>
        <vt:i4>5</vt:i4>
      </vt:variant>
      <vt:variant>
        <vt:lpwstr>https://media.ifrc.org/ifrc/what-we-do-disaster-and-crisis-national-society-preparedness-effective-response/</vt:lpwstr>
      </vt:variant>
      <vt:variant>
        <vt:lpwstr/>
      </vt:variant>
      <vt:variant>
        <vt:i4>393272</vt:i4>
      </vt:variant>
      <vt:variant>
        <vt:i4>222</vt:i4>
      </vt:variant>
      <vt:variant>
        <vt:i4>0</vt:i4>
      </vt:variant>
      <vt:variant>
        <vt:i4>5</vt:i4>
      </vt:variant>
      <vt:variant>
        <vt:lpwstr>https://ifrcorg.sharepoint.com/:f:/s/IFRCSharing/EkXz9jHbDANPgSzK3_oH52sBpO4CqbiYzsY58f4k9TYe5A?e=Phn4KZ</vt:lpwstr>
      </vt:variant>
      <vt:variant>
        <vt:lpwstr/>
      </vt:variant>
      <vt:variant>
        <vt:i4>3866681</vt:i4>
      </vt:variant>
      <vt:variant>
        <vt:i4>219</vt:i4>
      </vt:variant>
      <vt:variant>
        <vt:i4>0</vt:i4>
      </vt:variant>
      <vt:variant>
        <vt:i4>5</vt:i4>
      </vt:variant>
      <vt:variant>
        <vt:lpwstr>https://www.humanitarianresponse.info/en/coordination/preparedness/erp-approach</vt:lpwstr>
      </vt:variant>
      <vt:variant>
        <vt:lpwstr/>
      </vt:variant>
      <vt:variant>
        <vt:i4>1703939</vt:i4>
      </vt:variant>
      <vt:variant>
        <vt:i4>216</vt:i4>
      </vt:variant>
      <vt:variant>
        <vt:i4>0</vt:i4>
      </vt:variant>
      <vt:variant>
        <vt:i4>5</vt:i4>
      </vt:variant>
      <vt:variant>
        <vt:lpwstr>https://smcctoolkit.org/tool-kit/</vt:lpwstr>
      </vt:variant>
      <vt:variant>
        <vt:lpwstr/>
      </vt:variant>
      <vt:variant>
        <vt:i4>3211291</vt:i4>
      </vt:variant>
      <vt:variant>
        <vt:i4>213</vt:i4>
      </vt:variant>
      <vt:variant>
        <vt:i4>0</vt:i4>
      </vt:variant>
      <vt:variant>
        <vt:i4>5</vt:i4>
      </vt:variant>
      <vt:variant>
        <vt:lpwstr>https://media.ifrc.org/ifrc/wp-content/uploads/sites/5/2020/04/DRM_policy_Final_EN.pdf</vt:lpwstr>
      </vt:variant>
      <vt:variant>
        <vt:lpwstr/>
      </vt:variant>
      <vt:variant>
        <vt:i4>6684770</vt:i4>
      </vt:variant>
      <vt:variant>
        <vt:i4>210</vt:i4>
      </vt:variant>
      <vt:variant>
        <vt:i4>0</vt:i4>
      </vt:variant>
      <vt:variant>
        <vt:i4>5</vt:i4>
      </vt:variant>
      <vt:variant>
        <vt:lpwstr>https://fednet.ifrc.org/FedNet/Resources_and_Services/Disasters/Disaster and crisis management/Response preparedness/Contingency planning guide.pdf</vt:lpwstr>
      </vt:variant>
      <vt:variant>
        <vt:lpwstr/>
      </vt:variant>
      <vt:variant>
        <vt:i4>1703939</vt:i4>
      </vt:variant>
      <vt:variant>
        <vt:i4>207</vt:i4>
      </vt:variant>
      <vt:variant>
        <vt:i4>0</vt:i4>
      </vt:variant>
      <vt:variant>
        <vt:i4>5</vt:i4>
      </vt:variant>
      <vt:variant>
        <vt:lpwstr>https://smcctoolkit.org/tool-kit/</vt:lpwstr>
      </vt:variant>
      <vt:variant>
        <vt:lpwstr/>
      </vt:variant>
      <vt:variant>
        <vt:i4>2097272</vt:i4>
      </vt:variant>
      <vt:variant>
        <vt:i4>204</vt:i4>
      </vt:variant>
      <vt:variant>
        <vt:i4>0</vt:i4>
      </vt:variant>
      <vt:variant>
        <vt:i4>5</vt:i4>
      </vt:variant>
      <vt:variant>
        <vt:lpwstr>https://spherestandards.org/handbook-2018/</vt:lpwstr>
      </vt:variant>
      <vt:variant>
        <vt:lpwstr/>
      </vt:variant>
      <vt:variant>
        <vt:i4>3735603</vt:i4>
      </vt:variant>
      <vt:variant>
        <vt:i4>201</vt:i4>
      </vt:variant>
      <vt:variant>
        <vt:i4>0</vt:i4>
      </vt:variant>
      <vt:variant>
        <vt:i4>5</vt:i4>
      </vt:variant>
      <vt:variant>
        <vt:lpwstr>https://app.powerbi.com/view?r=eyJrIjoiNzRhMWFkMmItODA1OC00NzdiLTk2NTItZDM5NjA1Y2ViOWQ1IiwidCI6IjIyMmM0ZDE1LTA3ZmMtNDZhNi04ZTJjLTk0NDY0OTIxNmVjZCIsImMiOjN9</vt:lpwstr>
      </vt:variant>
      <vt:variant>
        <vt:lpwstr/>
      </vt:variant>
      <vt:variant>
        <vt:i4>6815853</vt:i4>
      </vt:variant>
      <vt:variant>
        <vt:i4>198</vt:i4>
      </vt:variant>
      <vt:variant>
        <vt:i4>0</vt:i4>
      </vt:variant>
      <vt:variant>
        <vt:i4>5</vt:i4>
      </vt:variant>
      <vt:variant>
        <vt:lpwstr>https://www.icrc.org/en/resource-centre</vt:lpwstr>
      </vt:variant>
      <vt:variant>
        <vt:lpwstr/>
      </vt:variant>
      <vt:variant>
        <vt:i4>4325444</vt:i4>
      </vt:variant>
      <vt:variant>
        <vt:i4>195</vt:i4>
      </vt:variant>
      <vt:variant>
        <vt:i4>0</vt:i4>
      </vt:variant>
      <vt:variant>
        <vt:i4>5</vt:i4>
      </vt:variant>
      <vt:variant>
        <vt:lpwstr>https://fednet.ifrc.org/en/home/</vt:lpwstr>
      </vt:variant>
      <vt:variant>
        <vt:lpwstr/>
      </vt:variant>
      <vt:variant>
        <vt:i4>7995450</vt:i4>
      </vt:variant>
      <vt:variant>
        <vt:i4>192</vt:i4>
      </vt:variant>
      <vt:variant>
        <vt:i4>0</vt:i4>
      </vt:variant>
      <vt:variant>
        <vt:i4>5</vt:i4>
      </vt:variant>
      <vt:variant>
        <vt:lpwstr>https://preparecenter.org/</vt:lpwstr>
      </vt:variant>
      <vt:variant>
        <vt:lpwstr/>
      </vt:variant>
      <vt:variant>
        <vt:i4>6684770</vt:i4>
      </vt:variant>
      <vt:variant>
        <vt:i4>189</vt:i4>
      </vt:variant>
      <vt:variant>
        <vt:i4>0</vt:i4>
      </vt:variant>
      <vt:variant>
        <vt:i4>5</vt:i4>
      </vt:variant>
      <vt:variant>
        <vt:lpwstr>https://fednet.ifrc.org/FedNet/Resources_and_Services/Disasters/Disaster and crisis management/Response preparedness/Contingency planning guide.pdf</vt:lpwstr>
      </vt:variant>
      <vt:variant>
        <vt:lpwstr/>
      </vt:variant>
      <vt:variant>
        <vt:i4>2031664</vt:i4>
      </vt:variant>
      <vt:variant>
        <vt:i4>182</vt:i4>
      </vt:variant>
      <vt:variant>
        <vt:i4>0</vt:i4>
      </vt:variant>
      <vt:variant>
        <vt:i4>5</vt:i4>
      </vt:variant>
      <vt:variant>
        <vt:lpwstr/>
      </vt:variant>
      <vt:variant>
        <vt:lpwstr>_Toc59440510</vt:lpwstr>
      </vt:variant>
      <vt:variant>
        <vt:i4>1441841</vt:i4>
      </vt:variant>
      <vt:variant>
        <vt:i4>176</vt:i4>
      </vt:variant>
      <vt:variant>
        <vt:i4>0</vt:i4>
      </vt:variant>
      <vt:variant>
        <vt:i4>5</vt:i4>
      </vt:variant>
      <vt:variant>
        <vt:lpwstr/>
      </vt:variant>
      <vt:variant>
        <vt:lpwstr>_Toc59440509</vt:lpwstr>
      </vt:variant>
      <vt:variant>
        <vt:i4>1507377</vt:i4>
      </vt:variant>
      <vt:variant>
        <vt:i4>170</vt:i4>
      </vt:variant>
      <vt:variant>
        <vt:i4>0</vt:i4>
      </vt:variant>
      <vt:variant>
        <vt:i4>5</vt:i4>
      </vt:variant>
      <vt:variant>
        <vt:lpwstr/>
      </vt:variant>
      <vt:variant>
        <vt:lpwstr>_Toc59440508</vt:lpwstr>
      </vt:variant>
      <vt:variant>
        <vt:i4>1572913</vt:i4>
      </vt:variant>
      <vt:variant>
        <vt:i4>164</vt:i4>
      </vt:variant>
      <vt:variant>
        <vt:i4>0</vt:i4>
      </vt:variant>
      <vt:variant>
        <vt:i4>5</vt:i4>
      </vt:variant>
      <vt:variant>
        <vt:lpwstr/>
      </vt:variant>
      <vt:variant>
        <vt:lpwstr>_Toc59440507</vt:lpwstr>
      </vt:variant>
      <vt:variant>
        <vt:i4>1638449</vt:i4>
      </vt:variant>
      <vt:variant>
        <vt:i4>158</vt:i4>
      </vt:variant>
      <vt:variant>
        <vt:i4>0</vt:i4>
      </vt:variant>
      <vt:variant>
        <vt:i4>5</vt:i4>
      </vt:variant>
      <vt:variant>
        <vt:lpwstr/>
      </vt:variant>
      <vt:variant>
        <vt:lpwstr>_Toc59440506</vt:lpwstr>
      </vt:variant>
      <vt:variant>
        <vt:i4>1703985</vt:i4>
      </vt:variant>
      <vt:variant>
        <vt:i4>152</vt:i4>
      </vt:variant>
      <vt:variant>
        <vt:i4>0</vt:i4>
      </vt:variant>
      <vt:variant>
        <vt:i4>5</vt:i4>
      </vt:variant>
      <vt:variant>
        <vt:lpwstr/>
      </vt:variant>
      <vt:variant>
        <vt:lpwstr>_Toc59440505</vt:lpwstr>
      </vt:variant>
      <vt:variant>
        <vt:i4>1769521</vt:i4>
      </vt:variant>
      <vt:variant>
        <vt:i4>146</vt:i4>
      </vt:variant>
      <vt:variant>
        <vt:i4>0</vt:i4>
      </vt:variant>
      <vt:variant>
        <vt:i4>5</vt:i4>
      </vt:variant>
      <vt:variant>
        <vt:lpwstr/>
      </vt:variant>
      <vt:variant>
        <vt:lpwstr>_Toc59440504</vt:lpwstr>
      </vt:variant>
      <vt:variant>
        <vt:i4>1835057</vt:i4>
      </vt:variant>
      <vt:variant>
        <vt:i4>140</vt:i4>
      </vt:variant>
      <vt:variant>
        <vt:i4>0</vt:i4>
      </vt:variant>
      <vt:variant>
        <vt:i4>5</vt:i4>
      </vt:variant>
      <vt:variant>
        <vt:lpwstr/>
      </vt:variant>
      <vt:variant>
        <vt:lpwstr>_Toc59440503</vt:lpwstr>
      </vt:variant>
      <vt:variant>
        <vt:i4>1900593</vt:i4>
      </vt:variant>
      <vt:variant>
        <vt:i4>134</vt:i4>
      </vt:variant>
      <vt:variant>
        <vt:i4>0</vt:i4>
      </vt:variant>
      <vt:variant>
        <vt:i4>5</vt:i4>
      </vt:variant>
      <vt:variant>
        <vt:lpwstr/>
      </vt:variant>
      <vt:variant>
        <vt:lpwstr>_Toc59440502</vt:lpwstr>
      </vt:variant>
      <vt:variant>
        <vt:i4>1966129</vt:i4>
      </vt:variant>
      <vt:variant>
        <vt:i4>128</vt:i4>
      </vt:variant>
      <vt:variant>
        <vt:i4>0</vt:i4>
      </vt:variant>
      <vt:variant>
        <vt:i4>5</vt:i4>
      </vt:variant>
      <vt:variant>
        <vt:lpwstr/>
      </vt:variant>
      <vt:variant>
        <vt:lpwstr>_Toc59440501</vt:lpwstr>
      </vt:variant>
      <vt:variant>
        <vt:i4>2031665</vt:i4>
      </vt:variant>
      <vt:variant>
        <vt:i4>122</vt:i4>
      </vt:variant>
      <vt:variant>
        <vt:i4>0</vt:i4>
      </vt:variant>
      <vt:variant>
        <vt:i4>5</vt:i4>
      </vt:variant>
      <vt:variant>
        <vt:lpwstr/>
      </vt:variant>
      <vt:variant>
        <vt:lpwstr>_Toc59440500</vt:lpwstr>
      </vt:variant>
      <vt:variant>
        <vt:i4>1507384</vt:i4>
      </vt:variant>
      <vt:variant>
        <vt:i4>116</vt:i4>
      </vt:variant>
      <vt:variant>
        <vt:i4>0</vt:i4>
      </vt:variant>
      <vt:variant>
        <vt:i4>5</vt:i4>
      </vt:variant>
      <vt:variant>
        <vt:lpwstr/>
      </vt:variant>
      <vt:variant>
        <vt:lpwstr>_Toc59440499</vt:lpwstr>
      </vt:variant>
      <vt:variant>
        <vt:i4>1441848</vt:i4>
      </vt:variant>
      <vt:variant>
        <vt:i4>110</vt:i4>
      </vt:variant>
      <vt:variant>
        <vt:i4>0</vt:i4>
      </vt:variant>
      <vt:variant>
        <vt:i4>5</vt:i4>
      </vt:variant>
      <vt:variant>
        <vt:lpwstr/>
      </vt:variant>
      <vt:variant>
        <vt:lpwstr>_Toc59440498</vt:lpwstr>
      </vt:variant>
      <vt:variant>
        <vt:i4>1638456</vt:i4>
      </vt:variant>
      <vt:variant>
        <vt:i4>104</vt:i4>
      </vt:variant>
      <vt:variant>
        <vt:i4>0</vt:i4>
      </vt:variant>
      <vt:variant>
        <vt:i4>5</vt:i4>
      </vt:variant>
      <vt:variant>
        <vt:lpwstr/>
      </vt:variant>
      <vt:variant>
        <vt:lpwstr>_Toc59440497</vt:lpwstr>
      </vt:variant>
      <vt:variant>
        <vt:i4>1572920</vt:i4>
      </vt:variant>
      <vt:variant>
        <vt:i4>98</vt:i4>
      </vt:variant>
      <vt:variant>
        <vt:i4>0</vt:i4>
      </vt:variant>
      <vt:variant>
        <vt:i4>5</vt:i4>
      </vt:variant>
      <vt:variant>
        <vt:lpwstr/>
      </vt:variant>
      <vt:variant>
        <vt:lpwstr>_Toc59440496</vt:lpwstr>
      </vt:variant>
      <vt:variant>
        <vt:i4>1769528</vt:i4>
      </vt:variant>
      <vt:variant>
        <vt:i4>92</vt:i4>
      </vt:variant>
      <vt:variant>
        <vt:i4>0</vt:i4>
      </vt:variant>
      <vt:variant>
        <vt:i4>5</vt:i4>
      </vt:variant>
      <vt:variant>
        <vt:lpwstr/>
      </vt:variant>
      <vt:variant>
        <vt:lpwstr>_Toc59440495</vt:lpwstr>
      </vt:variant>
      <vt:variant>
        <vt:i4>1703992</vt:i4>
      </vt:variant>
      <vt:variant>
        <vt:i4>86</vt:i4>
      </vt:variant>
      <vt:variant>
        <vt:i4>0</vt:i4>
      </vt:variant>
      <vt:variant>
        <vt:i4>5</vt:i4>
      </vt:variant>
      <vt:variant>
        <vt:lpwstr/>
      </vt:variant>
      <vt:variant>
        <vt:lpwstr>_Toc59440494</vt:lpwstr>
      </vt:variant>
      <vt:variant>
        <vt:i4>1900600</vt:i4>
      </vt:variant>
      <vt:variant>
        <vt:i4>80</vt:i4>
      </vt:variant>
      <vt:variant>
        <vt:i4>0</vt:i4>
      </vt:variant>
      <vt:variant>
        <vt:i4>5</vt:i4>
      </vt:variant>
      <vt:variant>
        <vt:lpwstr/>
      </vt:variant>
      <vt:variant>
        <vt:lpwstr>_Toc59440493</vt:lpwstr>
      </vt:variant>
      <vt:variant>
        <vt:i4>1835064</vt:i4>
      </vt:variant>
      <vt:variant>
        <vt:i4>74</vt:i4>
      </vt:variant>
      <vt:variant>
        <vt:i4>0</vt:i4>
      </vt:variant>
      <vt:variant>
        <vt:i4>5</vt:i4>
      </vt:variant>
      <vt:variant>
        <vt:lpwstr/>
      </vt:variant>
      <vt:variant>
        <vt:lpwstr>_Toc59440492</vt:lpwstr>
      </vt:variant>
      <vt:variant>
        <vt:i4>2031672</vt:i4>
      </vt:variant>
      <vt:variant>
        <vt:i4>68</vt:i4>
      </vt:variant>
      <vt:variant>
        <vt:i4>0</vt:i4>
      </vt:variant>
      <vt:variant>
        <vt:i4>5</vt:i4>
      </vt:variant>
      <vt:variant>
        <vt:lpwstr/>
      </vt:variant>
      <vt:variant>
        <vt:lpwstr>_Toc59440491</vt:lpwstr>
      </vt:variant>
      <vt:variant>
        <vt:i4>1966136</vt:i4>
      </vt:variant>
      <vt:variant>
        <vt:i4>62</vt:i4>
      </vt:variant>
      <vt:variant>
        <vt:i4>0</vt:i4>
      </vt:variant>
      <vt:variant>
        <vt:i4>5</vt:i4>
      </vt:variant>
      <vt:variant>
        <vt:lpwstr/>
      </vt:variant>
      <vt:variant>
        <vt:lpwstr>_Toc59440490</vt:lpwstr>
      </vt:variant>
      <vt:variant>
        <vt:i4>1507385</vt:i4>
      </vt:variant>
      <vt:variant>
        <vt:i4>56</vt:i4>
      </vt:variant>
      <vt:variant>
        <vt:i4>0</vt:i4>
      </vt:variant>
      <vt:variant>
        <vt:i4>5</vt:i4>
      </vt:variant>
      <vt:variant>
        <vt:lpwstr/>
      </vt:variant>
      <vt:variant>
        <vt:lpwstr>_Toc59440489</vt:lpwstr>
      </vt:variant>
      <vt:variant>
        <vt:i4>1441849</vt:i4>
      </vt:variant>
      <vt:variant>
        <vt:i4>50</vt:i4>
      </vt:variant>
      <vt:variant>
        <vt:i4>0</vt:i4>
      </vt:variant>
      <vt:variant>
        <vt:i4>5</vt:i4>
      </vt:variant>
      <vt:variant>
        <vt:lpwstr/>
      </vt:variant>
      <vt:variant>
        <vt:lpwstr>_Toc59440488</vt:lpwstr>
      </vt:variant>
      <vt:variant>
        <vt:i4>1638457</vt:i4>
      </vt:variant>
      <vt:variant>
        <vt:i4>44</vt:i4>
      </vt:variant>
      <vt:variant>
        <vt:i4>0</vt:i4>
      </vt:variant>
      <vt:variant>
        <vt:i4>5</vt:i4>
      </vt:variant>
      <vt:variant>
        <vt:lpwstr/>
      </vt:variant>
      <vt:variant>
        <vt:lpwstr>_Toc59440487</vt:lpwstr>
      </vt:variant>
      <vt:variant>
        <vt:i4>1572921</vt:i4>
      </vt:variant>
      <vt:variant>
        <vt:i4>38</vt:i4>
      </vt:variant>
      <vt:variant>
        <vt:i4>0</vt:i4>
      </vt:variant>
      <vt:variant>
        <vt:i4>5</vt:i4>
      </vt:variant>
      <vt:variant>
        <vt:lpwstr/>
      </vt:variant>
      <vt:variant>
        <vt:lpwstr>_Toc59440486</vt:lpwstr>
      </vt:variant>
      <vt:variant>
        <vt:i4>1769529</vt:i4>
      </vt:variant>
      <vt:variant>
        <vt:i4>32</vt:i4>
      </vt:variant>
      <vt:variant>
        <vt:i4>0</vt:i4>
      </vt:variant>
      <vt:variant>
        <vt:i4>5</vt:i4>
      </vt:variant>
      <vt:variant>
        <vt:lpwstr/>
      </vt:variant>
      <vt:variant>
        <vt:lpwstr>_Toc59440485</vt:lpwstr>
      </vt:variant>
      <vt:variant>
        <vt:i4>1703993</vt:i4>
      </vt:variant>
      <vt:variant>
        <vt:i4>26</vt:i4>
      </vt:variant>
      <vt:variant>
        <vt:i4>0</vt:i4>
      </vt:variant>
      <vt:variant>
        <vt:i4>5</vt:i4>
      </vt:variant>
      <vt:variant>
        <vt:lpwstr/>
      </vt:variant>
      <vt:variant>
        <vt:lpwstr>_Toc59440484</vt:lpwstr>
      </vt:variant>
      <vt:variant>
        <vt:i4>1900601</vt:i4>
      </vt:variant>
      <vt:variant>
        <vt:i4>20</vt:i4>
      </vt:variant>
      <vt:variant>
        <vt:i4>0</vt:i4>
      </vt:variant>
      <vt:variant>
        <vt:i4>5</vt:i4>
      </vt:variant>
      <vt:variant>
        <vt:lpwstr/>
      </vt:variant>
      <vt:variant>
        <vt:lpwstr>_Toc59440483</vt:lpwstr>
      </vt:variant>
      <vt:variant>
        <vt:i4>1835065</vt:i4>
      </vt:variant>
      <vt:variant>
        <vt:i4>14</vt:i4>
      </vt:variant>
      <vt:variant>
        <vt:i4>0</vt:i4>
      </vt:variant>
      <vt:variant>
        <vt:i4>5</vt:i4>
      </vt:variant>
      <vt:variant>
        <vt:lpwstr/>
      </vt:variant>
      <vt:variant>
        <vt:lpwstr>_Toc59440482</vt:lpwstr>
      </vt:variant>
      <vt:variant>
        <vt:i4>2031673</vt:i4>
      </vt:variant>
      <vt:variant>
        <vt:i4>8</vt:i4>
      </vt:variant>
      <vt:variant>
        <vt:i4>0</vt:i4>
      </vt:variant>
      <vt:variant>
        <vt:i4>5</vt:i4>
      </vt:variant>
      <vt:variant>
        <vt:lpwstr/>
      </vt:variant>
      <vt:variant>
        <vt:lpwstr>_Toc59440481</vt:lpwstr>
      </vt:variant>
      <vt:variant>
        <vt:i4>1966137</vt:i4>
      </vt:variant>
      <vt:variant>
        <vt:i4>2</vt:i4>
      </vt:variant>
      <vt:variant>
        <vt:i4>0</vt:i4>
      </vt:variant>
      <vt:variant>
        <vt:i4>5</vt:i4>
      </vt:variant>
      <vt:variant>
        <vt:lpwstr/>
      </vt:variant>
      <vt:variant>
        <vt:lpwstr>_Toc59440480</vt:lpwstr>
      </vt:variant>
      <vt:variant>
        <vt:i4>262188</vt:i4>
      </vt:variant>
      <vt:variant>
        <vt:i4>0</vt:i4>
      </vt:variant>
      <vt:variant>
        <vt:i4>0</vt:i4>
      </vt:variant>
      <vt:variant>
        <vt:i4>5</vt:i4>
      </vt:variant>
      <vt:variant>
        <vt:lpwstr>https://www.preventionweb.net/files/7817_UNISDRTerminologyFrench.pdf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Ysabeau Rycx</dc:creator>
  <cp:keywords/>
  <cp:lastModifiedBy>Maya SCHAERER</cp:lastModifiedBy>
  <cp:revision>78</cp:revision>
  <dcterms:created xsi:type="dcterms:W3CDTF">2020-12-21T18:56:00Z</dcterms:created>
  <dcterms:modified xsi:type="dcterms:W3CDTF">2021-02-24T10:53:00Z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0x0101009F0B81F92DC9F743AB69193ABF7D6812</vt:lpwstr>
  </property>
</Properties>
</file>