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45AB" w14:textId="77777777" w:rsidR="00200EFF" w:rsidRDefault="00000000">
      <w:pPr>
        <w:rPr>
          <w:b/>
          <w:color w:val="1F3864"/>
          <w:sz w:val="36"/>
          <w:szCs w:val="36"/>
        </w:rPr>
      </w:pPr>
      <w:r>
        <w:rPr>
          <w:b/>
          <w:color w:val="1F3864"/>
          <w:sz w:val="44"/>
          <w:szCs w:val="44"/>
        </w:rPr>
        <w:t>Urban heat stress in Indonesia</w:t>
      </w:r>
      <w:r>
        <w:rPr>
          <w:b/>
          <w:color w:val="1F3864"/>
          <w:sz w:val="36"/>
          <w:szCs w:val="36"/>
        </w:rPr>
        <w:t xml:space="preserve"> </w:t>
      </w:r>
    </w:p>
    <w:p w14:paraId="59BB45AC" w14:textId="77777777" w:rsidR="00200EFF" w:rsidRDefault="00000000">
      <w:pPr>
        <w:pBdr>
          <w:top w:val="single" w:sz="4" w:space="1" w:color="000000"/>
          <w:left w:val="single" w:sz="4" w:space="4" w:color="000000"/>
          <w:bottom w:val="single" w:sz="4" w:space="1" w:color="000000"/>
          <w:right w:val="single" w:sz="4" w:space="4" w:color="000000"/>
        </w:pBdr>
        <w:rPr>
          <w:b/>
          <w:sz w:val="22"/>
          <w:szCs w:val="22"/>
        </w:rPr>
      </w:pPr>
      <w:r>
        <w:rPr>
          <w:b/>
          <w:color w:val="3B3838"/>
          <w:sz w:val="22"/>
          <w:szCs w:val="22"/>
        </w:rPr>
        <w:t xml:space="preserve">Executive summary </w:t>
      </w:r>
    </w:p>
    <w:p w14:paraId="59BB45AD" w14:textId="77777777" w:rsidR="00200EFF" w:rsidRDefault="00000000">
      <w:pPr>
        <w:pBdr>
          <w:top w:val="single" w:sz="4" w:space="1" w:color="000000"/>
          <w:left w:val="single" w:sz="4" w:space="4" w:color="000000"/>
          <w:bottom w:val="single" w:sz="4" w:space="1" w:color="000000"/>
          <w:right w:val="single" w:sz="4" w:space="4" w:color="000000"/>
        </w:pBdr>
        <w:rPr>
          <w:sz w:val="20"/>
          <w:szCs w:val="20"/>
        </w:rPr>
      </w:pPr>
      <w:r>
        <w:rPr>
          <w:sz w:val="20"/>
          <w:szCs w:val="20"/>
        </w:rPr>
        <w:t xml:space="preserve">Existing research has provided evidence that Indonesia has suffered lost work hours from heat stress and will experience more heat stress in the future. This study provided an analysis across space and time, to understand trends of heat stress and population exposure from 1983 to 2016. </w:t>
      </w:r>
    </w:p>
    <w:p w14:paraId="59BB45AE" w14:textId="6CA3C757" w:rsidR="00200EFF" w:rsidRDefault="00000000">
      <w:pPr>
        <w:pBdr>
          <w:top w:val="single" w:sz="4" w:space="1" w:color="000000"/>
          <w:left w:val="single" w:sz="4" w:space="4" w:color="000000"/>
          <w:bottom w:val="single" w:sz="4" w:space="1" w:color="000000"/>
          <w:right w:val="single" w:sz="4" w:space="4" w:color="000000"/>
        </w:pBdr>
        <w:rPr>
          <w:sz w:val="20"/>
          <w:szCs w:val="20"/>
        </w:rPr>
      </w:pPr>
      <w:r>
        <w:rPr>
          <w:sz w:val="20"/>
          <w:szCs w:val="20"/>
        </w:rPr>
        <w:t xml:space="preserve">Heat stress was defined using international standards (wet-bulb globe temperature &gt; 30 °C), using one of the most accurate and highest resolution datasets of urban heat stress currently available. </w:t>
      </w:r>
    </w:p>
    <w:p w14:paraId="59BB45AF" w14:textId="77777777" w:rsidR="00200EFF" w:rsidRDefault="00200EFF">
      <w:pPr>
        <w:pBdr>
          <w:top w:val="single" w:sz="4" w:space="1" w:color="000000"/>
          <w:left w:val="single" w:sz="4" w:space="4" w:color="000000"/>
          <w:bottom w:val="single" w:sz="4" w:space="1" w:color="000000"/>
          <w:right w:val="single" w:sz="4" w:space="4" w:color="000000"/>
        </w:pBdr>
        <w:rPr>
          <w:sz w:val="20"/>
          <w:szCs w:val="20"/>
        </w:rPr>
      </w:pPr>
    </w:p>
    <w:p w14:paraId="59BB45B0" w14:textId="77777777" w:rsidR="00200EFF" w:rsidRDefault="00000000">
      <w:pPr>
        <w:pBdr>
          <w:top w:val="single" w:sz="4" w:space="1" w:color="000000"/>
          <w:left w:val="single" w:sz="4" w:space="4" w:color="000000"/>
          <w:bottom w:val="single" w:sz="4" w:space="1" w:color="000000"/>
          <w:right w:val="single" w:sz="4" w:space="4" w:color="000000"/>
        </w:pBdr>
        <w:rPr>
          <w:sz w:val="20"/>
          <w:szCs w:val="20"/>
        </w:rPr>
      </w:pPr>
      <w:r>
        <w:rPr>
          <w:sz w:val="20"/>
          <w:szCs w:val="20"/>
        </w:rPr>
        <w:t xml:space="preserve">Key findings include: </w:t>
      </w:r>
    </w:p>
    <w:p w14:paraId="59BB45B1" w14:textId="77777777" w:rsidR="00200EFF" w:rsidRDefault="00000000">
      <w:pPr>
        <w:pBdr>
          <w:top w:val="single" w:sz="4" w:space="1" w:color="000000"/>
          <w:left w:val="single" w:sz="4" w:space="4" w:color="000000"/>
          <w:bottom w:val="single" w:sz="4" w:space="1" w:color="000000"/>
          <w:right w:val="single" w:sz="4" w:space="4" w:color="000000"/>
        </w:pBdr>
        <w:rPr>
          <w:sz w:val="20"/>
          <w:szCs w:val="20"/>
        </w:rPr>
      </w:pPr>
      <w:r>
        <w:rPr>
          <w:sz w:val="20"/>
          <w:szCs w:val="20"/>
        </w:rPr>
        <w:t xml:space="preserve">1) Heat stress is rapidly increasing in various regions of Indonesia, with the largest increases up to 3 days/year in Riau province. </w:t>
      </w:r>
    </w:p>
    <w:p w14:paraId="59BB45B2" w14:textId="77777777" w:rsidR="00200EFF" w:rsidRDefault="00000000">
      <w:pPr>
        <w:pBdr>
          <w:top w:val="single" w:sz="4" w:space="1" w:color="000000"/>
          <w:left w:val="single" w:sz="4" w:space="4" w:color="000000"/>
          <w:bottom w:val="single" w:sz="4" w:space="1" w:color="000000"/>
          <w:right w:val="single" w:sz="4" w:space="4" w:color="000000"/>
        </w:pBdr>
        <w:rPr>
          <w:sz w:val="20"/>
          <w:szCs w:val="20"/>
        </w:rPr>
      </w:pPr>
      <w:r>
        <w:rPr>
          <w:sz w:val="20"/>
          <w:szCs w:val="20"/>
        </w:rPr>
        <w:t xml:space="preserve">2) On average, Indonesia experiences 14 humid-hot days each year, with a higher number of hot days in recent years. The years of 1998, 2010, and 2016 contained a disproportionate number of humid-hot days, with 50, 35, and 57 days respectively. </w:t>
      </w:r>
    </w:p>
    <w:p w14:paraId="59BB45B3" w14:textId="77777777" w:rsidR="00200EFF" w:rsidRDefault="00000000">
      <w:pPr>
        <w:pBdr>
          <w:top w:val="single" w:sz="4" w:space="1" w:color="000000"/>
          <w:left w:val="single" w:sz="4" w:space="4" w:color="000000"/>
          <w:bottom w:val="single" w:sz="4" w:space="1" w:color="000000"/>
          <w:right w:val="single" w:sz="4" w:space="4" w:color="000000"/>
        </w:pBdr>
        <w:rPr>
          <w:sz w:val="20"/>
          <w:szCs w:val="20"/>
        </w:rPr>
      </w:pPr>
      <w:r>
        <w:rPr>
          <w:sz w:val="20"/>
          <w:szCs w:val="20"/>
        </w:rPr>
        <w:t xml:space="preserve">3) Exposure is increasing by 17.5 million people-days per year across Indonesia, </w:t>
      </w:r>
      <w:proofErr w:type="gramStart"/>
      <w:r>
        <w:rPr>
          <w:sz w:val="20"/>
          <w:szCs w:val="20"/>
        </w:rPr>
        <w:t>as a result of</w:t>
      </w:r>
      <w:proofErr w:type="gramEnd"/>
      <w:r>
        <w:rPr>
          <w:sz w:val="20"/>
          <w:szCs w:val="20"/>
        </w:rPr>
        <w:t xml:space="preserve"> increases in urban warming and population growth.</w:t>
      </w:r>
    </w:p>
    <w:p w14:paraId="59BB45B4" w14:textId="77777777" w:rsidR="00200EFF" w:rsidRDefault="00200EFF">
      <w:pPr>
        <w:pBdr>
          <w:top w:val="single" w:sz="4" w:space="1" w:color="000000"/>
          <w:left w:val="single" w:sz="4" w:space="4" w:color="000000"/>
          <w:bottom w:val="single" w:sz="4" w:space="1" w:color="000000"/>
          <w:right w:val="single" w:sz="4" w:space="4" w:color="000000"/>
        </w:pBdr>
        <w:rPr>
          <w:sz w:val="20"/>
          <w:szCs w:val="20"/>
        </w:rPr>
      </w:pPr>
    </w:p>
    <w:p w14:paraId="59BB45B5" w14:textId="77777777" w:rsidR="00200EFF" w:rsidRDefault="00000000">
      <w:pPr>
        <w:pBdr>
          <w:top w:val="single" w:sz="4" w:space="1" w:color="000000"/>
          <w:left w:val="single" w:sz="4" w:space="4" w:color="000000"/>
          <w:bottom w:val="single" w:sz="4" w:space="1" w:color="000000"/>
          <w:right w:val="single" w:sz="4" w:space="4" w:color="000000"/>
        </w:pBdr>
        <w:rPr>
          <w:sz w:val="20"/>
          <w:szCs w:val="20"/>
        </w:rPr>
      </w:pPr>
      <w:r>
        <w:rPr>
          <w:sz w:val="20"/>
          <w:szCs w:val="20"/>
        </w:rPr>
        <w:t xml:space="preserve">A range of actions are recommended, including improving public messaging on heat risks to raise awareness, monitoring temperatures in important locations, training caregivers on heat risks, working together with local universities to co-develop studies, and more.  </w:t>
      </w:r>
    </w:p>
    <w:p w14:paraId="59BB45B6" w14:textId="77777777" w:rsidR="00200EFF" w:rsidRDefault="00200EFF">
      <w:pPr>
        <w:pBdr>
          <w:top w:val="single" w:sz="4" w:space="1" w:color="000000"/>
          <w:left w:val="single" w:sz="4" w:space="4" w:color="000000"/>
          <w:bottom w:val="single" w:sz="4" w:space="1" w:color="000000"/>
          <w:right w:val="single" w:sz="4" w:space="4" w:color="000000"/>
        </w:pBdr>
        <w:rPr>
          <w:sz w:val="18"/>
          <w:szCs w:val="18"/>
        </w:rPr>
      </w:pPr>
    </w:p>
    <w:p w14:paraId="59BB45B7" w14:textId="77777777" w:rsidR="00200EFF" w:rsidRDefault="00200EFF">
      <w:pPr>
        <w:spacing w:before="120" w:line="360" w:lineRule="auto"/>
        <w:rPr>
          <w:b/>
          <w:sz w:val="22"/>
          <w:szCs w:val="22"/>
        </w:rPr>
      </w:pPr>
    </w:p>
    <w:p w14:paraId="59BB45B8" w14:textId="77777777" w:rsidR="00200EFF" w:rsidRDefault="00000000">
      <w:pPr>
        <w:numPr>
          <w:ilvl w:val="0"/>
          <w:numId w:val="4"/>
        </w:numPr>
        <w:pBdr>
          <w:top w:val="nil"/>
          <w:left w:val="nil"/>
          <w:bottom w:val="nil"/>
          <w:right w:val="nil"/>
          <w:between w:val="nil"/>
        </w:pBdr>
        <w:rPr>
          <w:b/>
          <w:color w:val="002060"/>
          <w:sz w:val="28"/>
          <w:szCs w:val="28"/>
        </w:rPr>
      </w:pPr>
      <w:r>
        <w:rPr>
          <w:b/>
          <w:color w:val="002060"/>
          <w:sz w:val="28"/>
          <w:szCs w:val="28"/>
        </w:rPr>
        <w:t xml:space="preserve">Introduction  </w:t>
      </w:r>
    </w:p>
    <w:p w14:paraId="59BB45B9" w14:textId="77777777" w:rsidR="00200EFF" w:rsidRDefault="00200EFF">
      <w:pPr>
        <w:rPr>
          <w:b/>
          <w:sz w:val="21"/>
          <w:szCs w:val="21"/>
        </w:rPr>
      </w:pPr>
    </w:p>
    <w:p w14:paraId="59BB45BA" w14:textId="77777777" w:rsidR="00200EFF" w:rsidRDefault="00000000">
      <w:pPr>
        <w:jc w:val="both"/>
        <w:rPr>
          <w:b/>
          <w:i/>
          <w:color w:val="1F3864"/>
          <w:sz w:val="21"/>
          <w:szCs w:val="21"/>
        </w:rPr>
      </w:pPr>
      <w:r>
        <w:rPr>
          <w:b/>
          <w:i/>
          <w:color w:val="1F3864"/>
          <w:sz w:val="21"/>
          <w:szCs w:val="21"/>
        </w:rPr>
        <w:t xml:space="preserve">Background </w:t>
      </w:r>
    </w:p>
    <w:p w14:paraId="59BB45BB" w14:textId="77777777" w:rsidR="00200EFF" w:rsidRDefault="00000000">
      <w:pPr>
        <w:jc w:val="both"/>
        <w:rPr>
          <w:sz w:val="21"/>
          <w:szCs w:val="21"/>
        </w:rPr>
      </w:pPr>
      <w:r>
        <w:rPr>
          <w:sz w:val="21"/>
          <w:szCs w:val="21"/>
        </w:rPr>
        <w:t xml:space="preserve">Heat stress is rising globally and is posing large risks to the communities around the world [1]. The past eight years have been the hottest on record and this trend is likely to continue. Heat stress refers to conditions of high temperature and/or humidity, hazardous to human health and natural systems. Heat stress is becoming a growing concern for tropical countries like Indonesia, where the impacts can be especially severe due to high temperatures in combination with high humidity. In contrast to mid- to high-latitude countries where heat stress is restricted to summer months, heat stress in Indonesia happens year-round. </w:t>
      </w:r>
    </w:p>
    <w:p w14:paraId="59BB45BC" w14:textId="77777777" w:rsidR="00200EFF" w:rsidRDefault="00200EFF">
      <w:pPr>
        <w:jc w:val="both"/>
        <w:rPr>
          <w:sz w:val="21"/>
          <w:szCs w:val="21"/>
        </w:rPr>
      </w:pPr>
    </w:p>
    <w:p w14:paraId="59BB45BD" w14:textId="77777777" w:rsidR="00200EFF" w:rsidRDefault="00000000">
      <w:pPr>
        <w:jc w:val="both"/>
        <w:rPr>
          <w:sz w:val="21"/>
          <w:szCs w:val="21"/>
        </w:rPr>
      </w:pPr>
      <w:r>
        <w:rPr>
          <w:sz w:val="21"/>
          <w:szCs w:val="21"/>
        </w:rPr>
        <w:t>Research on heat stress and its impacts remains extremely limited across Indonesia. This lack of evidence is not an indication of a lack of heat stress or impacts, but rather resulted from the unavailability of adequate data, both weather and health data, required to conduct robust assessments. Still, recent global and regional studies have provided evidence for the current and future risks of heat stress. Supari et al. (2017) showed that Indonesia has clearly experienced significant warming over the past decades, with minimum temperatures increasing at a faster rate than maximum [2]. Future projections have shown that tropical, humid areas will be much more exposed to deadly heat stress compared to higher latitudes [3], that Indonesia will experience more frequent, longer, and more intense heat stress under multiple future scenarios [4</w:t>
      </w:r>
      <w:proofErr w:type="gramStart"/>
      <w:r>
        <w:rPr>
          <w:sz w:val="21"/>
          <w:szCs w:val="21"/>
        </w:rPr>
        <w:t>], and</w:t>
      </w:r>
      <w:proofErr w:type="gramEnd"/>
      <w:r>
        <w:rPr>
          <w:sz w:val="21"/>
          <w:szCs w:val="21"/>
        </w:rPr>
        <w:t xml:space="preserve"> become much less suitable for humans and systems to thrive [5]. Chambers et al. (2020) identified Indonesia in the top 5 countries with highest exposure of vulnerable people to days of heat stress in the past decades [6]. In a recent study, Indonesian farmers and forestry workers reported experiencing distress from heat exposure and emphasized the need for information and guidance from governmental authorities [7]. A study done in Makassar, Indonesia found dangerous heat-stress conditions, both indoors and outdoors, which were significantly underreported by weather stations [8]. This indicates that </w:t>
      </w:r>
      <w:r>
        <w:rPr>
          <w:b/>
          <w:sz w:val="21"/>
          <w:szCs w:val="21"/>
        </w:rPr>
        <w:t>there is an urgent need to document and address heat stress across Indonesia</w:t>
      </w:r>
      <w:r>
        <w:rPr>
          <w:sz w:val="21"/>
          <w:szCs w:val="21"/>
        </w:rPr>
        <w:t xml:space="preserve"> and increase research efforts </w:t>
      </w:r>
      <w:proofErr w:type="gramStart"/>
      <w:r>
        <w:rPr>
          <w:sz w:val="21"/>
          <w:szCs w:val="21"/>
        </w:rPr>
        <w:t>in order to</w:t>
      </w:r>
      <w:proofErr w:type="gramEnd"/>
      <w:r>
        <w:rPr>
          <w:sz w:val="21"/>
          <w:szCs w:val="21"/>
        </w:rPr>
        <w:t xml:space="preserve"> understand the local characteristics and impacts. </w:t>
      </w:r>
    </w:p>
    <w:p w14:paraId="59BB45BE" w14:textId="77777777" w:rsidR="00200EFF" w:rsidRDefault="00200EFF">
      <w:pPr>
        <w:jc w:val="both"/>
        <w:rPr>
          <w:sz w:val="21"/>
          <w:szCs w:val="21"/>
        </w:rPr>
      </w:pPr>
    </w:p>
    <w:p w14:paraId="59BB45BF" w14:textId="77777777" w:rsidR="00200EFF" w:rsidRDefault="00000000">
      <w:pPr>
        <w:jc w:val="both"/>
        <w:rPr>
          <w:b/>
          <w:i/>
          <w:color w:val="1F3864"/>
          <w:sz w:val="21"/>
          <w:szCs w:val="21"/>
        </w:rPr>
      </w:pPr>
      <w:r>
        <w:rPr>
          <w:b/>
          <w:i/>
          <w:color w:val="1F3864"/>
          <w:sz w:val="21"/>
          <w:szCs w:val="21"/>
        </w:rPr>
        <w:t xml:space="preserve">Impacts from heat stress </w:t>
      </w:r>
    </w:p>
    <w:p w14:paraId="59BB45C0" w14:textId="77777777" w:rsidR="00200EFF" w:rsidRDefault="00000000">
      <w:pPr>
        <w:jc w:val="both"/>
        <w:rPr>
          <w:sz w:val="21"/>
          <w:szCs w:val="21"/>
        </w:rPr>
      </w:pPr>
      <w:r>
        <w:rPr>
          <w:sz w:val="21"/>
          <w:szCs w:val="21"/>
        </w:rPr>
        <w:t xml:space="preserve">Heat stress can impact nearly all sectors of society. Most importantly, heat stress poses a serious threat to human health and well-being and can be deadly [9], [10]. Heat stress exacerbates pre-existing health conditions such as cardiovascular disease and respiratory illnesses, kidney disease, causes heat strokes, cramps and exhaustion, and </w:t>
      </w:r>
      <w:r>
        <w:rPr>
          <w:sz w:val="21"/>
          <w:szCs w:val="21"/>
        </w:rPr>
        <w:lastRenderedPageBreak/>
        <w:t>increases the rate of transmission of food and waterborne diseases [9], [11]</w:t>
      </w:r>
      <w:proofErr w:type="gramStart"/>
      <w:r>
        <w:rPr>
          <w:sz w:val="21"/>
          <w:szCs w:val="21"/>
        </w:rPr>
        <w:t>–[</w:t>
      </w:r>
      <w:proofErr w:type="gramEnd"/>
      <w:r>
        <w:rPr>
          <w:sz w:val="21"/>
          <w:szCs w:val="21"/>
        </w:rPr>
        <w:t xml:space="preserve">13]. Next to impacting health, heat stress makes outdoor labor increasingly difficult and can have large economic and health consequences for a wide range of occupations as productivity decreases and work hours are lost. </w:t>
      </w:r>
      <w:r>
        <w:rPr>
          <w:b/>
          <w:sz w:val="21"/>
          <w:szCs w:val="21"/>
        </w:rPr>
        <w:t>Indonesia has already been identified as one of the countries suffering most losses of potential labor capacity,</w:t>
      </w:r>
      <w:r>
        <w:rPr>
          <w:sz w:val="21"/>
          <w:szCs w:val="21"/>
        </w:rPr>
        <w:t xml:space="preserve"> estimated at 4-6% of the annual GDP [10]. In 2019, </w:t>
      </w:r>
      <w:r>
        <w:rPr>
          <w:b/>
          <w:sz w:val="21"/>
          <w:szCs w:val="21"/>
        </w:rPr>
        <w:t>71.8 work hours per person were estimated to be lost across Indonesia</w:t>
      </w:r>
      <w:r>
        <w:rPr>
          <w:sz w:val="21"/>
          <w:szCs w:val="21"/>
        </w:rPr>
        <w:t xml:space="preserve">, translating to </w:t>
      </w:r>
      <w:r>
        <w:rPr>
          <w:b/>
          <w:sz w:val="21"/>
          <w:szCs w:val="21"/>
        </w:rPr>
        <w:t>15 billion work hours lost in total</w:t>
      </w:r>
      <w:r>
        <w:rPr>
          <w:sz w:val="21"/>
          <w:szCs w:val="21"/>
        </w:rPr>
        <w:t xml:space="preserve"> (ibid.). Furthermore, essential services (</w:t>
      </w:r>
      <w:proofErr w:type="gramStart"/>
      <w:r>
        <w:rPr>
          <w:sz w:val="21"/>
          <w:szCs w:val="21"/>
        </w:rPr>
        <w:t>e.g.</w:t>
      </w:r>
      <w:proofErr w:type="gramEnd"/>
      <w:r>
        <w:rPr>
          <w:sz w:val="21"/>
          <w:szCs w:val="21"/>
        </w:rPr>
        <w:t xml:space="preserve"> electricity, food, and water supplies) can be disrupted, and crops, livestock and biodiversity can greatly be affected [9], [11]. Heat also interacts with other disasters such as wildfires, droughts, and storms, which can result in cascading and compounded impacts. </w:t>
      </w:r>
    </w:p>
    <w:p w14:paraId="59BB45C1" w14:textId="77777777" w:rsidR="00200EFF" w:rsidRDefault="00000000">
      <w:pPr>
        <w:ind w:firstLine="227"/>
        <w:jc w:val="both"/>
        <w:rPr>
          <w:sz w:val="21"/>
          <w:szCs w:val="21"/>
        </w:rPr>
      </w:pPr>
      <w:r>
        <w:rPr>
          <w:sz w:val="21"/>
          <w:szCs w:val="21"/>
        </w:rPr>
        <w:t xml:space="preserve">Although heat can affect anyone, the impacts are often unequal and disproportionately affect vulnerable groups in urban areas. These groups for example include elderly, young children, people with pre-existing illnesses, people living in informal settlements and outdoor workers. Urban areas are especially at risk, as heat is amplified in cities which absorb and re-emit heat in the concrete building materials, also known as the urban heat island (UHI) effect [14]. </w:t>
      </w:r>
    </w:p>
    <w:p w14:paraId="59BB45C2" w14:textId="77777777" w:rsidR="00200EFF" w:rsidRDefault="00200EFF">
      <w:pPr>
        <w:ind w:firstLine="227"/>
        <w:jc w:val="both"/>
        <w:rPr>
          <w:sz w:val="21"/>
          <w:szCs w:val="21"/>
        </w:rPr>
      </w:pPr>
    </w:p>
    <w:p w14:paraId="59BB45C3" w14:textId="77777777" w:rsidR="00200EFF" w:rsidRDefault="00000000">
      <w:pPr>
        <w:jc w:val="both"/>
        <w:rPr>
          <w:b/>
          <w:i/>
          <w:color w:val="1F3864"/>
          <w:sz w:val="21"/>
          <w:szCs w:val="21"/>
        </w:rPr>
      </w:pPr>
      <w:r>
        <w:rPr>
          <w:b/>
          <w:i/>
          <w:color w:val="1F3864"/>
          <w:sz w:val="21"/>
          <w:szCs w:val="21"/>
        </w:rPr>
        <w:t>Data challenges to address</w:t>
      </w:r>
    </w:p>
    <w:p w14:paraId="59BB45C4" w14:textId="77777777" w:rsidR="00200EFF" w:rsidRDefault="00000000">
      <w:pPr>
        <w:jc w:val="both"/>
        <w:rPr>
          <w:sz w:val="21"/>
          <w:szCs w:val="21"/>
        </w:rPr>
      </w:pPr>
      <w:r>
        <w:rPr>
          <w:sz w:val="21"/>
          <w:szCs w:val="21"/>
        </w:rPr>
        <w:t xml:space="preserve">Unlike cyclones or earthquakes where damages are directly visible, heat stress is a </w:t>
      </w:r>
      <w:r>
        <w:rPr>
          <w:b/>
          <w:sz w:val="21"/>
          <w:szCs w:val="21"/>
        </w:rPr>
        <w:t xml:space="preserve">slow-onset disaster </w:t>
      </w:r>
      <w:r>
        <w:rPr>
          <w:sz w:val="21"/>
          <w:szCs w:val="21"/>
        </w:rPr>
        <w:t xml:space="preserve">with impacts that are silent, insidious, and difficult to quantify. Impacts can be delayed and occur only after days or weeks of prolonged exposure to heat stress. Heat compounds other pre-existing health risks thereby often masking the cause of death from heat [9], [11]. On top of this, in many countries the </w:t>
      </w:r>
      <w:r>
        <w:rPr>
          <w:b/>
          <w:sz w:val="21"/>
          <w:szCs w:val="21"/>
        </w:rPr>
        <w:t>lack of appropriate data</w:t>
      </w:r>
      <w:r>
        <w:rPr>
          <w:sz w:val="21"/>
          <w:szCs w:val="21"/>
        </w:rPr>
        <w:t xml:space="preserve"> (both weather and health data) makes it increasingly challenging to quantify impacts. For example, weather stations across Indonesia have been found to contain a high number of missing values, making it difficult to understand trends and correlate heat with health outcomes. Recent advances in earth observation technologies can fill some of these gaps and enable analysis, such as in this study. Still, strong efforts must be made to increase weather and health surveillance to enhance on-the-ground understanding of heat stress and its impacts. </w:t>
      </w:r>
    </w:p>
    <w:p w14:paraId="59BB45C5" w14:textId="77777777" w:rsidR="00200EFF" w:rsidRDefault="00200EFF">
      <w:pPr>
        <w:rPr>
          <w:b/>
          <w:sz w:val="21"/>
          <w:szCs w:val="21"/>
        </w:rPr>
      </w:pPr>
    </w:p>
    <w:p w14:paraId="59BB45C6" w14:textId="77777777" w:rsidR="00200EFF" w:rsidRDefault="00000000">
      <w:pPr>
        <w:jc w:val="both"/>
        <w:rPr>
          <w:b/>
          <w:i/>
          <w:color w:val="1F3864"/>
          <w:sz w:val="21"/>
          <w:szCs w:val="21"/>
        </w:rPr>
      </w:pPr>
      <w:r>
        <w:rPr>
          <w:b/>
          <w:i/>
          <w:color w:val="1F3864"/>
          <w:sz w:val="21"/>
          <w:szCs w:val="21"/>
        </w:rPr>
        <w:t xml:space="preserve">Reducing risk to heat </w:t>
      </w:r>
    </w:p>
    <w:p w14:paraId="59BB45C7" w14:textId="77777777" w:rsidR="00200EFF" w:rsidRDefault="00000000">
      <w:pPr>
        <w:jc w:val="both"/>
        <w:rPr>
          <w:sz w:val="21"/>
          <w:szCs w:val="21"/>
        </w:rPr>
      </w:pPr>
      <w:r>
        <w:rPr>
          <w:sz w:val="21"/>
          <w:szCs w:val="21"/>
        </w:rPr>
        <w:t xml:space="preserve">The good news: there is robust scientific evidence for relatively simple and cost-effective adaptation strategies, that greatly reduce impacts from heat [9], [11]. In other words, heat-related impacts are largely avoidable if appropriate action is taken. Such actions are generally captured through national or city-scale Heat Action Plans (HAPs) and can range from issuing heat early warning systems and health advisories, mobilizing resources at vulnerable locations, to urban planning strategies [15]. </w:t>
      </w:r>
    </w:p>
    <w:p w14:paraId="59BB45C8" w14:textId="77777777" w:rsidR="00200EFF" w:rsidRDefault="00200EFF">
      <w:pPr>
        <w:jc w:val="both"/>
        <w:rPr>
          <w:sz w:val="21"/>
          <w:szCs w:val="21"/>
        </w:rPr>
      </w:pPr>
    </w:p>
    <w:p w14:paraId="59BB45C9" w14:textId="77777777" w:rsidR="00200EFF" w:rsidRDefault="00000000">
      <w:pPr>
        <w:jc w:val="both"/>
        <w:rPr>
          <w:sz w:val="21"/>
          <w:szCs w:val="21"/>
        </w:rPr>
      </w:pPr>
      <w:r>
        <w:rPr>
          <w:sz w:val="21"/>
          <w:szCs w:val="21"/>
        </w:rPr>
        <w:t xml:space="preserve">Currently, there is </w:t>
      </w:r>
      <w:r>
        <w:rPr>
          <w:b/>
          <w:sz w:val="21"/>
          <w:szCs w:val="21"/>
        </w:rPr>
        <w:t>insufficient</w:t>
      </w:r>
      <w:r>
        <w:rPr>
          <w:sz w:val="21"/>
          <w:szCs w:val="21"/>
        </w:rPr>
        <w:t xml:space="preserve"> </w:t>
      </w:r>
      <w:r>
        <w:rPr>
          <w:b/>
          <w:sz w:val="21"/>
          <w:szCs w:val="21"/>
        </w:rPr>
        <w:t>awareness and preparedness to heat stress in Indonesia</w:t>
      </w:r>
      <w:r>
        <w:rPr>
          <w:sz w:val="21"/>
          <w:szCs w:val="21"/>
        </w:rPr>
        <w:t xml:space="preserve">. This study presents a country-wide analysis on urban heat stress across Indonesia from 1983 to 2016, using a recently developed high-resolution urban heat exposure dataset (Section 2.1). It is important to note that these results present merely country- and city-level </w:t>
      </w:r>
      <w:proofErr w:type="gramStart"/>
      <w:r>
        <w:rPr>
          <w:sz w:val="21"/>
          <w:szCs w:val="21"/>
        </w:rPr>
        <w:t>results</w:t>
      </w:r>
      <w:proofErr w:type="gramEnd"/>
      <w:r>
        <w:rPr>
          <w:sz w:val="21"/>
          <w:szCs w:val="21"/>
        </w:rPr>
        <w:t xml:space="preserve"> yet heat exposure can differ </w:t>
      </w:r>
      <w:r>
        <w:rPr>
          <w:i/>
          <w:sz w:val="21"/>
          <w:szCs w:val="21"/>
        </w:rPr>
        <w:t>greatly</w:t>
      </w:r>
      <w:r>
        <w:rPr>
          <w:sz w:val="21"/>
          <w:szCs w:val="21"/>
        </w:rPr>
        <w:t xml:space="preserve"> within cities. Additional research is needed to highlight these variations in heat stress on neighborhood-level scales, to identify hotspots within cities and target solutions effectively across space. Following this introduction, this report is structured as follows: the methods and datasets are presented in Section 2, the results and discussion in Section 3, and the conclusion in Section 4. </w:t>
      </w:r>
    </w:p>
    <w:p w14:paraId="59BB45CA" w14:textId="77777777" w:rsidR="00200EFF" w:rsidRDefault="00200EFF">
      <w:pPr>
        <w:rPr>
          <w:b/>
          <w:sz w:val="21"/>
          <w:szCs w:val="21"/>
        </w:rPr>
      </w:pPr>
    </w:p>
    <w:p w14:paraId="59BB45CB" w14:textId="77777777" w:rsidR="00200EFF" w:rsidRDefault="00000000">
      <w:pPr>
        <w:rPr>
          <w:b/>
          <w:i/>
          <w:color w:val="1F3864"/>
          <w:sz w:val="21"/>
          <w:szCs w:val="21"/>
        </w:rPr>
      </w:pPr>
      <w:r>
        <w:rPr>
          <w:b/>
          <w:i/>
          <w:color w:val="1F3864"/>
          <w:sz w:val="21"/>
          <w:szCs w:val="21"/>
        </w:rPr>
        <w:t xml:space="preserve">Main objectives of this study </w:t>
      </w:r>
    </w:p>
    <w:p w14:paraId="59BB45CC" w14:textId="77777777" w:rsidR="00200EFF" w:rsidRDefault="00000000">
      <w:pPr>
        <w:rPr>
          <w:sz w:val="21"/>
          <w:szCs w:val="21"/>
        </w:rPr>
      </w:pPr>
      <w:r>
        <w:rPr>
          <w:sz w:val="21"/>
          <w:szCs w:val="21"/>
        </w:rPr>
        <w:t xml:space="preserve">The two main objectives of this research were formulated as follows: </w:t>
      </w:r>
    </w:p>
    <w:p w14:paraId="59BB45CD" w14:textId="77777777" w:rsidR="00200EFF" w:rsidRDefault="00000000">
      <w:pPr>
        <w:numPr>
          <w:ilvl w:val="0"/>
          <w:numId w:val="1"/>
        </w:numPr>
        <w:pBdr>
          <w:top w:val="nil"/>
          <w:left w:val="nil"/>
          <w:bottom w:val="nil"/>
          <w:right w:val="nil"/>
          <w:between w:val="nil"/>
        </w:pBdr>
        <w:spacing w:before="120"/>
        <w:ind w:left="714" w:hanging="357"/>
        <w:rPr>
          <w:color w:val="000000"/>
          <w:sz w:val="21"/>
          <w:szCs w:val="21"/>
        </w:rPr>
      </w:pPr>
      <w:r>
        <w:rPr>
          <w:color w:val="000000"/>
          <w:sz w:val="21"/>
          <w:szCs w:val="21"/>
        </w:rPr>
        <w:t xml:space="preserve">Understanding the </w:t>
      </w:r>
      <w:proofErr w:type="spellStart"/>
      <w:r>
        <w:rPr>
          <w:color w:val="000000"/>
          <w:sz w:val="21"/>
          <w:szCs w:val="21"/>
        </w:rPr>
        <w:t>spatio</w:t>
      </w:r>
      <w:proofErr w:type="spellEnd"/>
      <w:r>
        <w:rPr>
          <w:color w:val="000000"/>
          <w:sz w:val="21"/>
          <w:szCs w:val="21"/>
        </w:rPr>
        <w:t>-temporal characteristics of heat stress and corresponding trends.</w:t>
      </w:r>
    </w:p>
    <w:p w14:paraId="59BB45CE" w14:textId="77777777" w:rsidR="00200EFF" w:rsidRDefault="00000000">
      <w:pPr>
        <w:numPr>
          <w:ilvl w:val="0"/>
          <w:numId w:val="1"/>
        </w:numPr>
        <w:pBdr>
          <w:top w:val="nil"/>
          <w:left w:val="nil"/>
          <w:bottom w:val="nil"/>
          <w:right w:val="nil"/>
          <w:between w:val="nil"/>
        </w:pBdr>
        <w:ind w:left="714" w:hanging="357"/>
        <w:rPr>
          <w:color w:val="000000"/>
          <w:sz w:val="21"/>
          <w:szCs w:val="21"/>
        </w:rPr>
      </w:pPr>
      <w:r>
        <w:rPr>
          <w:color w:val="000000"/>
          <w:sz w:val="21"/>
          <w:szCs w:val="21"/>
        </w:rPr>
        <w:t>Understanding the number of people exposed</w:t>
      </w:r>
      <w:r>
        <w:rPr>
          <w:b/>
          <w:color w:val="000000"/>
          <w:sz w:val="21"/>
          <w:szCs w:val="21"/>
        </w:rPr>
        <w:t xml:space="preserve"> </w:t>
      </w:r>
      <w:r>
        <w:rPr>
          <w:color w:val="000000"/>
          <w:sz w:val="21"/>
          <w:szCs w:val="21"/>
        </w:rPr>
        <w:t xml:space="preserve">to heat stress and corresponding trends. </w:t>
      </w:r>
    </w:p>
    <w:p w14:paraId="59BB45CF" w14:textId="77777777" w:rsidR="00200EFF" w:rsidRDefault="00200EFF">
      <w:pPr>
        <w:rPr>
          <w:b/>
          <w:sz w:val="21"/>
          <w:szCs w:val="21"/>
        </w:rPr>
      </w:pPr>
    </w:p>
    <w:p w14:paraId="59BB45D0" w14:textId="77777777" w:rsidR="00200EFF" w:rsidRDefault="00000000">
      <w:pPr>
        <w:numPr>
          <w:ilvl w:val="0"/>
          <w:numId w:val="4"/>
        </w:numPr>
        <w:pBdr>
          <w:top w:val="nil"/>
          <w:left w:val="nil"/>
          <w:bottom w:val="nil"/>
          <w:right w:val="nil"/>
          <w:between w:val="nil"/>
        </w:pBdr>
        <w:rPr>
          <w:b/>
          <w:color w:val="002060"/>
          <w:sz w:val="28"/>
          <w:szCs w:val="28"/>
        </w:rPr>
      </w:pPr>
      <w:r>
        <w:rPr>
          <w:b/>
          <w:color w:val="002060"/>
          <w:sz w:val="28"/>
          <w:szCs w:val="28"/>
        </w:rPr>
        <w:t xml:space="preserve">Methodology &amp; datasets </w:t>
      </w:r>
    </w:p>
    <w:p w14:paraId="59BB45D1" w14:textId="77777777" w:rsidR="00200EFF" w:rsidRDefault="00200EFF">
      <w:pPr>
        <w:rPr>
          <w:b/>
          <w:sz w:val="21"/>
          <w:szCs w:val="21"/>
        </w:rPr>
      </w:pPr>
    </w:p>
    <w:p w14:paraId="59BB45D2" w14:textId="77777777" w:rsidR="00200EFF" w:rsidRDefault="00000000">
      <w:pPr>
        <w:rPr>
          <w:b/>
          <w:i/>
          <w:color w:val="1F3864"/>
          <w:sz w:val="21"/>
          <w:szCs w:val="21"/>
        </w:rPr>
      </w:pPr>
      <w:r>
        <w:rPr>
          <w:b/>
          <w:i/>
          <w:color w:val="1F3864"/>
          <w:sz w:val="21"/>
          <w:szCs w:val="21"/>
        </w:rPr>
        <w:t xml:space="preserve">2.1 Datasets </w:t>
      </w:r>
    </w:p>
    <w:p w14:paraId="59BB45D3" w14:textId="77777777" w:rsidR="00200EFF" w:rsidRDefault="00200EFF">
      <w:pPr>
        <w:rPr>
          <w:b/>
          <w:i/>
          <w:color w:val="1F3864"/>
          <w:sz w:val="21"/>
          <w:szCs w:val="21"/>
        </w:rPr>
      </w:pPr>
    </w:p>
    <w:p w14:paraId="59BB45D4" w14:textId="77777777" w:rsidR="00200EFF" w:rsidRDefault="00000000">
      <w:pPr>
        <w:jc w:val="both"/>
        <w:rPr>
          <w:i/>
          <w:color w:val="1F3864"/>
          <w:sz w:val="21"/>
          <w:szCs w:val="21"/>
        </w:rPr>
      </w:pPr>
      <w:r>
        <w:rPr>
          <w:i/>
          <w:color w:val="1F3864"/>
          <w:sz w:val="21"/>
          <w:szCs w:val="21"/>
        </w:rPr>
        <w:t>Wet-bulb globe temperature (</w:t>
      </w:r>
      <w:proofErr w:type="spellStart"/>
      <w:r>
        <w:rPr>
          <w:i/>
          <w:color w:val="1F3864"/>
          <w:sz w:val="21"/>
          <w:szCs w:val="21"/>
        </w:rPr>
        <w:t>WBGTmax</w:t>
      </w:r>
      <w:proofErr w:type="spellEnd"/>
      <w:r>
        <w:rPr>
          <w:i/>
          <w:color w:val="1F3864"/>
          <w:sz w:val="21"/>
          <w:szCs w:val="21"/>
        </w:rPr>
        <w:t xml:space="preserve">) (1983 – 2016) </w:t>
      </w:r>
    </w:p>
    <w:p w14:paraId="59BB45D5" w14:textId="77777777" w:rsidR="00200EFF" w:rsidRDefault="00000000">
      <w:pPr>
        <w:jc w:val="both"/>
        <w:rPr>
          <w:color w:val="000000"/>
          <w:sz w:val="21"/>
          <w:szCs w:val="21"/>
        </w:rPr>
      </w:pPr>
      <w:r>
        <w:rPr>
          <w:color w:val="000000"/>
          <w:sz w:val="21"/>
          <w:szCs w:val="21"/>
        </w:rPr>
        <w:t xml:space="preserve">The </w:t>
      </w:r>
      <w:r>
        <w:rPr>
          <w:i/>
          <w:color w:val="000000"/>
          <w:sz w:val="21"/>
          <w:szCs w:val="21"/>
        </w:rPr>
        <w:t>Global High Resolution Daily Extreme Urban Heat Exposure (UHE-Daily)</w:t>
      </w:r>
      <w:r>
        <w:rPr>
          <w:color w:val="000000"/>
          <w:sz w:val="21"/>
          <w:szCs w:val="21"/>
        </w:rPr>
        <w:t xml:space="preserve"> was recently developed and contains high-resolution </w:t>
      </w:r>
      <w:r>
        <w:rPr>
          <w:sz w:val="21"/>
          <w:szCs w:val="21"/>
        </w:rPr>
        <w:t>records</w:t>
      </w:r>
      <w:r>
        <w:rPr>
          <w:color w:val="000000"/>
          <w:sz w:val="21"/>
          <w:szCs w:val="21"/>
        </w:rPr>
        <w:t xml:space="preserve"> of urban heat stress and population exposure for 1983 to 2016. The daily </w:t>
      </w:r>
      <w:proofErr w:type="spellStart"/>
      <w:r>
        <w:rPr>
          <w:color w:val="000000"/>
          <w:sz w:val="21"/>
          <w:szCs w:val="21"/>
        </w:rPr>
        <w:t>WBGTmax</w:t>
      </w:r>
      <w:proofErr w:type="spellEnd"/>
      <w:r>
        <w:rPr>
          <w:color w:val="000000"/>
          <w:sz w:val="21"/>
          <w:szCs w:val="21"/>
        </w:rPr>
        <w:t xml:space="preserve"> &gt; 30 °C was extracted for 110 urban settlements across Indonesia. All maps were developed using ArcGIS Software </w:t>
      </w:r>
      <w:r>
        <w:rPr>
          <w:color w:val="000000"/>
          <w:sz w:val="21"/>
          <w:szCs w:val="21"/>
        </w:rPr>
        <w:lastRenderedPageBreak/>
        <w:t xml:space="preserve">(ArcMap 10.8). This dataset is openly available through </w:t>
      </w:r>
      <w:hyperlink r:id="rId11">
        <w:r>
          <w:rPr>
            <w:color w:val="0563C1"/>
            <w:sz w:val="21"/>
            <w:szCs w:val="21"/>
            <w:u w:val="single"/>
          </w:rPr>
          <w:t>https://sedac.ciesin.columbia.edu/data/set/sdei-high-res-daily-uhe-1983-2016</w:t>
        </w:r>
      </w:hyperlink>
      <w:r>
        <w:rPr>
          <w:color w:val="000000"/>
          <w:sz w:val="21"/>
          <w:szCs w:val="21"/>
        </w:rPr>
        <w:t>. For details on the development of these datasets, see [16].</w:t>
      </w:r>
    </w:p>
    <w:p w14:paraId="59BB45D6" w14:textId="77777777" w:rsidR="00200EFF" w:rsidRDefault="00200EFF">
      <w:pPr>
        <w:jc w:val="both"/>
        <w:rPr>
          <w:b/>
          <w:i/>
          <w:color w:val="1F3864"/>
          <w:sz w:val="21"/>
          <w:szCs w:val="21"/>
        </w:rPr>
      </w:pPr>
    </w:p>
    <w:p w14:paraId="59BB45D7" w14:textId="77777777" w:rsidR="00200EFF" w:rsidRDefault="00000000">
      <w:pPr>
        <w:jc w:val="both"/>
        <w:rPr>
          <w:b/>
          <w:i/>
          <w:color w:val="1F3864"/>
          <w:sz w:val="21"/>
          <w:szCs w:val="21"/>
        </w:rPr>
      </w:pPr>
      <w:r>
        <w:rPr>
          <w:b/>
          <w:i/>
          <w:color w:val="1F3864"/>
          <w:sz w:val="21"/>
          <w:szCs w:val="21"/>
        </w:rPr>
        <w:t xml:space="preserve">2.2 Heat stress definition </w:t>
      </w:r>
    </w:p>
    <w:p w14:paraId="59BB45D8" w14:textId="77777777" w:rsidR="00200EFF" w:rsidRDefault="00000000">
      <w:pPr>
        <w:jc w:val="both"/>
        <w:rPr>
          <w:sz w:val="21"/>
          <w:szCs w:val="21"/>
        </w:rPr>
      </w:pPr>
      <w:r>
        <w:rPr>
          <w:sz w:val="21"/>
          <w:szCs w:val="21"/>
        </w:rPr>
        <w:t xml:space="preserve">There is no universal definition for heat stress, as what is considered heat stress is dependent on the local climate and vulnerability of the population. In this study, heat stress is defined as </w:t>
      </w:r>
      <w:r>
        <w:rPr>
          <w:b/>
          <w:sz w:val="21"/>
          <w:szCs w:val="21"/>
        </w:rPr>
        <w:t xml:space="preserve">wet-bulb globe temperature </w:t>
      </w:r>
      <w:r>
        <w:rPr>
          <w:sz w:val="21"/>
          <w:szCs w:val="21"/>
        </w:rPr>
        <w:t xml:space="preserve">(WBGT) &gt; 30 °C. WBGT is a combination of radiated heat, 2m air temperature, wind, and relative humidity. This metric was chosen as WBGT is a widely used and validated index to assess heat stress, suitable for many regions and climates. The WBGT threshold of 30 °C follows the </w:t>
      </w:r>
      <w:r>
        <w:rPr>
          <w:b/>
          <w:sz w:val="21"/>
          <w:szCs w:val="21"/>
        </w:rPr>
        <w:t xml:space="preserve">International Standards Organization (ISO) </w:t>
      </w:r>
      <w:r>
        <w:rPr>
          <w:sz w:val="21"/>
          <w:szCs w:val="21"/>
        </w:rPr>
        <w:t>criteria for risk of occupational heat-related risk [17], [18]. WBGT &gt; 35 °C is the upper limit for human survival, but lower thresholds have been observed to seriously impact human health and productivity, even in young and healthy adults (</w:t>
      </w:r>
      <w:proofErr w:type="gramStart"/>
      <w:r>
        <w:rPr>
          <w:sz w:val="21"/>
          <w:szCs w:val="21"/>
        </w:rPr>
        <w:t>e.g.</w:t>
      </w:r>
      <w:proofErr w:type="gramEnd"/>
      <w:r>
        <w:rPr>
          <w:sz w:val="21"/>
          <w:szCs w:val="21"/>
        </w:rPr>
        <w:t xml:space="preserve"> in India 2015, WBGT reached 30 °C and caused over 2,500 deaths).</w:t>
      </w:r>
    </w:p>
    <w:p w14:paraId="59BB45D9" w14:textId="77777777" w:rsidR="00200EFF" w:rsidRDefault="00200EFF">
      <w:pPr>
        <w:rPr>
          <w:b/>
        </w:rPr>
      </w:pPr>
    </w:p>
    <w:p w14:paraId="59BB45DA" w14:textId="77777777" w:rsidR="00200EFF" w:rsidRDefault="00000000">
      <w:pPr>
        <w:numPr>
          <w:ilvl w:val="0"/>
          <w:numId w:val="4"/>
        </w:numPr>
        <w:pBdr>
          <w:top w:val="nil"/>
          <w:left w:val="nil"/>
          <w:bottom w:val="nil"/>
          <w:right w:val="nil"/>
          <w:between w:val="nil"/>
        </w:pBdr>
        <w:rPr>
          <w:b/>
          <w:color w:val="002060"/>
          <w:sz w:val="28"/>
          <w:szCs w:val="28"/>
        </w:rPr>
      </w:pPr>
      <w:r>
        <w:rPr>
          <w:b/>
          <w:color w:val="002060"/>
          <w:sz w:val="28"/>
          <w:szCs w:val="28"/>
        </w:rPr>
        <w:t xml:space="preserve">Results and discussion </w:t>
      </w:r>
      <w:r>
        <w:rPr>
          <w:noProof/>
        </w:rPr>
        <w:drawing>
          <wp:anchor distT="0" distB="0" distL="114300" distR="114300" simplePos="0" relativeHeight="251658240" behindDoc="0" locked="0" layoutInCell="1" hidden="0" allowOverlap="1" wp14:anchorId="59BB468E" wp14:editId="59BB468F">
            <wp:simplePos x="0" y="0"/>
            <wp:positionH relativeFrom="column">
              <wp:posOffset>2254575</wp:posOffset>
            </wp:positionH>
            <wp:positionV relativeFrom="paragraph">
              <wp:posOffset>95250</wp:posOffset>
            </wp:positionV>
            <wp:extent cx="3936365" cy="2781300"/>
            <wp:effectExtent l="0" t="0" r="0" b="0"/>
            <wp:wrapSquare wrapText="bothSides" distT="0" distB="0" distL="114300" distR="114300"/>
            <wp:docPr id="48" name="image3.jp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Map&#10;&#10;Description automatically generated"/>
                    <pic:cNvPicPr preferRelativeResize="0"/>
                  </pic:nvPicPr>
                  <pic:blipFill>
                    <a:blip r:embed="rId12"/>
                    <a:srcRect/>
                    <a:stretch>
                      <a:fillRect/>
                    </a:stretch>
                  </pic:blipFill>
                  <pic:spPr>
                    <a:xfrm>
                      <a:off x="0" y="0"/>
                      <a:ext cx="3936365" cy="2781300"/>
                    </a:xfrm>
                    <a:prstGeom prst="rect">
                      <a:avLst/>
                    </a:prstGeom>
                    <a:ln/>
                  </pic:spPr>
                </pic:pic>
              </a:graphicData>
            </a:graphic>
          </wp:anchor>
        </w:drawing>
      </w:r>
    </w:p>
    <w:p w14:paraId="59BB45DB" w14:textId="77777777" w:rsidR="00200EFF" w:rsidRDefault="00200EFF">
      <w:pPr>
        <w:rPr>
          <w:b/>
          <w:i/>
          <w:color w:val="1F3864"/>
          <w:sz w:val="21"/>
          <w:szCs w:val="21"/>
        </w:rPr>
      </w:pPr>
    </w:p>
    <w:p w14:paraId="59BB45DC" w14:textId="77777777" w:rsidR="00200EFF" w:rsidRDefault="00000000">
      <w:pPr>
        <w:rPr>
          <w:b/>
          <w:i/>
          <w:color w:val="1F3864"/>
          <w:sz w:val="21"/>
          <w:szCs w:val="21"/>
        </w:rPr>
      </w:pPr>
      <w:r>
        <w:rPr>
          <w:b/>
          <w:i/>
          <w:color w:val="1F3864"/>
          <w:sz w:val="21"/>
          <w:szCs w:val="21"/>
        </w:rPr>
        <w:t xml:space="preserve">Trends </w:t>
      </w:r>
    </w:p>
    <w:p w14:paraId="59BB45DD" w14:textId="77777777" w:rsidR="00200EFF" w:rsidRDefault="00000000">
      <w:pPr>
        <w:jc w:val="both"/>
        <w:rPr>
          <w:color w:val="000000"/>
          <w:sz w:val="21"/>
          <w:szCs w:val="21"/>
        </w:rPr>
      </w:pPr>
      <w:r>
        <w:rPr>
          <w:color w:val="000000"/>
          <w:sz w:val="21"/>
          <w:szCs w:val="21"/>
        </w:rPr>
        <w:t xml:space="preserve">Heat stress (WBGT &gt; 30 °C) has significantly increased over the past decades in various regions across Indonesia. The number of days with heat stress was found to be increasing </w:t>
      </w:r>
      <w:r>
        <w:rPr>
          <w:b/>
          <w:color w:val="000000"/>
          <w:sz w:val="21"/>
          <w:szCs w:val="21"/>
        </w:rPr>
        <w:t>0-2.9 days per year</w:t>
      </w:r>
      <w:r>
        <w:rPr>
          <w:color w:val="000000"/>
          <w:sz w:val="21"/>
          <w:szCs w:val="21"/>
        </w:rPr>
        <w:t xml:space="preserve"> in Indonesia, with the largest increases in Riau province. The regions with the highest </w:t>
      </w:r>
      <w:proofErr w:type="gramStart"/>
      <w:r>
        <w:rPr>
          <w:color w:val="000000"/>
          <w:sz w:val="21"/>
          <w:szCs w:val="21"/>
        </w:rPr>
        <w:t>increases  of</w:t>
      </w:r>
      <w:proofErr w:type="gramEnd"/>
      <w:r>
        <w:rPr>
          <w:color w:val="000000"/>
          <w:sz w:val="21"/>
          <w:szCs w:val="21"/>
        </w:rPr>
        <w:t xml:space="preserve"> nearly 3 days per year have experienced </w:t>
      </w:r>
      <w:r>
        <w:rPr>
          <w:i/>
          <w:color w:val="000000"/>
          <w:sz w:val="21"/>
          <w:szCs w:val="21"/>
        </w:rPr>
        <w:t>96 more days</w:t>
      </w:r>
      <w:r>
        <w:rPr>
          <w:b/>
          <w:color w:val="000000"/>
          <w:sz w:val="21"/>
          <w:szCs w:val="21"/>
        </w:rPr>
        <w:t xml:space="preserve"> </w:t>
      </w:r>
      <w:r>
        <w:rPr>
          <w:color w:val="000000"/>
          <w:sz w:val="21"/>
          <w:szCs w:val="21"/>
        </w:rPr>
        <w:t xml:space="preserve">of heat stress in 2016 compared to 1983. On average, the urban areas of Indonesia are experiencing an increase in days with heat stress of 0.6 days per year. </w:t>
      </w:r>
      <w:r>
        <w:rPr>
          <w:noProof/>
        </w:rPr>
        <mc:AlternateContent>
          <mc:Choice Requires="wps">
            <w:drawing>
              <wp:anchor distT="0" distB="0" distL="114300" distR="114300" simplePos="0" relativeHeight="251659264" behindDoc="0" locked="0" layoutInCell="1" hidden="0" allowOverlap="1" wp14:anchorId="59BB4690" wp14:editId="59BB4691">
                <wp:simplePos x="0" y="0"/>
                <wp:positionH relativeFrom="column">
                  <wp:posOffset>2565400</wp:posOffset>
                </wp:positionH>
                <wp:positionV relativeFrom="paragraph">
                  <wp:posOffset>139700</wp:posOffset>
                </wp:positionV>
                <wp:extent cx="635" cy="12700"/>
                <wp:effectExtent l="0" t="0" r="0" b="0"/>
                <wp:wrapSquare wrapText="bothSides" distT="0" distB="0" distL="114300" distR="114300"/>
                <wp:docPr id="39" name="Rectangle 39"/>
                <wp:cNvGraphicFramePr/>
                <a:graphic xmlns:a="http://schemas.openxmlformats.org/drawingml/2006/main">
                  <a:graphicData uri="http://schemas.microsoft.com/office/word/2010/wordprocessingShape">
                    <wps:wsp>
                      <wps:cNvSpPr/>
                      <wps:spPr>
                        <a:xfrm>
                          <a:off x="3513390" y="3779683"/>
                          <a:ext cx="3665220" cy="635"/>
                        </a:xfrm>
                        <a:prstGeom prst="rect">
                          <a:avLst/>
                        </a:prstGeom>
                        <a:solidFill>
                          <a:srgbClr val="FFFFFF"/>
                        </a:solidFill>
                        <a:ln>
                          <a:noFill/>
                        </a:ln>
                      </wps:spPr>
                      <wps:txbx>
                        <w:txbxContent>
                          <w:p w14:paraId="59BB46A7" w14:textId="77777777" w:rsidR="00200EFF" w:rsidRDefault="00000000">
                            <w:pPr>
                              <w:spacing w:after="200"/>
                              <w:textDirection w:val="btLr"/>
                            </w:pPr>
                            <w:r>
                              <w:rPr>
                                <w:rFonts w:ascii="Arial" w:eastAsia="Arial" w:hAnsi="Arial" w:cs="Arial"/>
                                <w:b/>
                                <w:i/>
                                <w:color w:val="000000"/>
                                <w:sz w:val="16"/>
                              </w:rPr>
                              <w:t xml:space="preserve">Figure  SEQ Figure \* ARABIC 1 </w:t>
                            </w:r>
                            <w:r>
                              <w:rPr>
                                <w:rFonts w:ascii="Arial" w:eastAsia="Arial" w:hAnsi="Arial" w:cs="Arial"/>
                                <w:i/>
                                <w:color w:val="000000"/>
                                <w:sz w:val="16"/>
                              </w:rPr>
                              <w:t>Annual increase in days WBGT &gt; 30 °C per year across Indonesia (1983 – 2016)</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2565400</wp:posOffset>
                </wp:positionH>
                <wp:positionV relativeFrom="paragraph">
                  <wp:posOffset>139700</wp:posOffset>
                </wp:positionV>
                <wp:extent cx="635" cy="12700"/>
                <wp:effectExtent b="0" l="0" r="0" t="0"/>
                <wp:wrapSquare wrapText="bothSides" distB="0" distT="0" distL="114300" distR="114300"/>
                <wp:docPr id="39"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635" cy="12700"/>
                        </a:xfrm>
                        <a:prstGeom prst="rect"/>
                        <a:ln/>
                      </pic:spPr>
                    </pic:pic>
                  </a:graphicData>
                </a:graphic>
              </wp:anchor>
            </w:drawing>
          </mc:Fallback>
        </mc:AlternateContent>
      </w:r>
    </w:p>
    <w:p w14:paraId="59BB45DE" w14:textId="77777777" w:rsidR="00200EFF" w:rsidRDefault="00200EFF">
      <w:pPr>
        <w:jc w:val="both"/>
        <w:rPr>
          <w:sz w:val="21"/>
          <w:szCs w:val="21"/>
        </w:rPr>
      </w:pPr>
    </w:p>
    <w:p w14:paraId="59BB45DF" w14:textId="77777777" w:rsidR="00200EFF" w:rsidRDefault="00000000">
      <w:pPr>
        <w:jc w:val="right"/>
        <w:rPr>
          <w:sz w:val="21"/>
          <w:szCs w:val="21"/>
        </w:rPr>
      </w:pPr>
      <w:r>
        <w:rPr>
          <w:b/>
          <w:sz w:val="16"/>
          <w:szCs w:val="16"/>
        </w:rPr>
        <w:t xml:space="preserve">Figure 1. </w:t>
      </w:r>
      <w:r>
        <w:rPr>
          <w:sz w:val="16"/>
          <w:szCs w:val="16"/>
        </w:rPr>
        <w:t>Annual increase in humid-hot days from 1983 - 2016</w:t>
      </w:r>
      <w:r>
        <w:rPr>
          <w:sz w:val="21"/>
          <w:szCs w:val="21"/>
        </w:rPr>
        <w:t xml:space="preserve"> </w:t>
      </w:r>
    </w:p>
    <w:p w14:paraId="59BB45E0" w14:textId="77777777" w:rsidR="00200EFF" w:rsidRDefault="00200EFF">
      <w:pPr>
        <w:rPr>
          <w:b/>
          <w:i/>
          <w:color w:val="1F3864"/>
          <w:sz w:val="21"/>
          <w:szCs w:val="21"/>
        </w:rPr>
      </w:pPr>
    </w:p>
    <w:p w14:paraId="59BB45E1" w14:textId="77777777" w:rsidR="00200EFF" w:rsidRDefault="00000000">
      <w:pPr>
        <w:jc w:val="both"/>
        <w:rPr>
          <w:sz w:val="21"/>
          <w:szCs w:val="21"/>
        </w:rPr>
      </w:pPr>
      <w:r>
        <w:rPr>
          <w:color w:val="000000"/>
          <w:sz w:val="21"/>
          <w:szCs w:val="21"/>
        </w:rPr>
        <w:t xml:space="preserve">On average, cities across Indonesia experience </w:t>
      </w:r>
      <w:r>
        <w:rPr>
          <w:b/>
          <w:color w:val="000000"/>
          <w:sz w:val="21"/>
          <w:szCs w:val="21"/>
        </w:rPr>
        <w:t>14 days of heat stress</w:t>
      </w:r>
      <w:r>
        <w:rPr>
          <w:color w:val="000000"/>
          <w:sz w:val="21"/>
          <w:szCs w:val="21"/>
        </w:rPr>
        <w:t xml:space="preserve"> each year (Figure 2; black line). This average was exceeded more often in the past decade compared to the earlier decades. Between 1983 to 2000, Indonesia experienced on average 10 humid-hot days, whereas between 2000 to 2016, this average was found to be 18 days. </w:t>
      </w:r>
      <w:r>
        <w:rPr>
          <w:sz w:val="21"/>
          <w:szCs w:val="21"/>
        </w:rPr>
        <w:t xml:space="preserve">Years which recorded exceptionally high numbers of humid-hot days were </w:t>
      </w:r>
      <w:r>
        <w:rPr>
          <w:b/>
          <w:sz w:val="21"/>
          <w:szCs w:val="21"/>
        </w:rPr>
        <w:t>1998</w:t>
      </w:r>
      <w:r>
        <w:rPr>
          <w:sz w:val="21"/>
          <w:szCs w:val="21"/>
        </w:rPr>
        <w:t xml:space="preserve"> (50 days), </w:t>
      </w:r>
      <w:r>
        <w:rPr>
          <w:b/>
          <w:sz w:val="21"/>
          <w:szCs w:val="21"/>
        </w:rPr>
        <w:t>2010</w:t>
      </w:r>
      <w:r>
        <w:rPr>
          <w:sz w:val="21"/>
          <w:szCs w:val="21"/>
        </w:rPr>
        <w:t xml:space="preserve"> (35 days), and </w:t>
      </w:r>
      <w:r>
        <w:rPr>
          <w:b/>
          <w:sz w:val="21"/>
          <w:szCs w:val="21"/>
        </w:rPr>
        <w:t>2016</w:t>
      </w:r>
      <w:r>
        <w:rPr>
          <w:sz w:val="21"/>
          <w:szCs w:val="21"/>
        </w:rPr>
        <w:t xml:space="preserve"> (57 days). In these years, 1-2 entire months of dangerous levels of heat stress were observed throughout Indonesia. This surely has resulted in a variety of negative impacts, yet at present there is no understanding of the magnitude and extent of these. </w:t>
      </w:r>
    </w:p>
    <w:p w14:paraId="59BB45E2" w14:textId="77777777" w:rsidR="00200EFF" w:rsidRDefault="00000000">
      <w:pPr>
        <w:jc w:val="center"/>
        <w:rPr>
          <w:color w:val="000000"/>
          <w:sz w:val="22"/>
          <w:szCs w:val="22"/>
        </w:rPr>
      </w:pPr>
      <w:r>
        <w:rPr>
          <w:noProof/>
          <w:sz w:val="22"/>
          <w:szCs w:val="22"/>
        </w:rPr>
        <w:lastRenderedPageBreak/>
        <w:drawing>
          <wp:inline distT="0" distB="0" distL="0" distR="0" wp14:anchorId="59BB4692" wp14:editId="59BB4693">
            <wp:extent cx="4692488" cy="2410904"/>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692488" cy="2410904"/>
                    </a:xfrm>
                    <a:prstGeom prst="rect">
                      <a:avLst/>
                    </a:prstGeom>
                    <a:ln/>
                  </pic:spPr>
                </pic:pic>
              </a:graphicData>
            </a:graphic>
          </wp:inline>
        </w:drawing>
      </w:r>
    </w:p>
    <w:p w14:paraId="59BB45E3" w14:textId="77777777" w:rsidR="00200EFF" w:rsidRDefault="00000000">
      <w:pPr>
        <w:pBdr>
          <w:top w:val="nil"/>
          <w:left w:val="nil"/>
          <w:bottom w:val="nil"/>
          <w:right w:val="nil"/>
          <w:between w:val="nil"/>
        </w:pBdr>
        <w:spacing w:after="200"/>
        <w:jc w:val="center"/>
        <w:rPr>
          <w:i/>
          <w:color w:val="000000"/>
          <w:sz w:val="16"/>
          <w:szCs w:val="16"/>
        </w:rPr>
      </w:pPr>
      <w:r>
        <w:rPr>
          <w:b/>
          <w:i/>
          <w:color w:val="000000"/>
          <w:sz w:val="16"/>
          <w:szCs w:val="16"/>
        </w:rPr>
        <w:t xml:space="preserve">Figure 2 </w:t>
      </w:r>
      <w:r>
        <w:rPr>
          <w:i/>
          <w:color w:val="000000"/>
          <w:sz w:val="16"/>
          <w:szCs w:val="16"/>
        </w:rPr>
        <w:t>Annual average number of humid-hot days (WBGT &gt; 30 °C) across Indonesia for 1983-2016.</w:t>
      </w:r>
    </w:p>
    <w:p w14:paraId="59BB45E4" w14:textId="77777777" w:rsidR="00200EFF" w:rsidRDefault="00000000">
      <w:pPr>
        <w:rPr>
          <w:b/>
          <w:i/>
          <w:color w:val="1F3864"/>
          <w:sz w:val="21"/>
          <w:szCs w:val="21"/>
        </w:rPr>
      </w:pPr>
      <w:r>
        <w:rPr>
          <w:b/>
          <w:i/>
          <w:color w:val="1F3864"/>
          <w:sz w:val="21"/>
          <w:szCs w:val="21"/>
        </w:rPr>
        <w:t xml:space="preserve">Years with high number of hot-humid days: 1998, 2010, and 2016 </w:t>
      </w:r>
    </w:p>
    <w:p w14:paraId="59BB45E5" w14:textId="77777777" w:rsidR="00200EFF" w:rsidRDefault="00000000">
      <w:pPr>
        <w:rPr>
          <w:sz w:val="21"/>
          <w:szCs w:val="21"/>
        </w:rPr>
      </w:pPr>
      <w:r>
        <w:rPr>
          <w:sz w:val="21"/>
          <w:szCs w:val="21"/>
        </w:rPr>
        <w:t xml:space="preserve">The top 3 years with exceptionally high number of hot-humid days (WBGT &gt; 30 °C), 1998, 2010, and 2016, were visualized across Indonesia (Figure 3). Spatial patterns of heat stress were found to be very similar across all years, with most hot-humid days in Riau province (of 150+ days in 1998, 2010 and 2016), followed by the provinces of Jambi and South Sumatra. </w:t>
      </w:r>
    </w:p>
    <w:p w14:paraId="59BB45E6" w14:textId="77777777" w:rsidR="00200EFF" w:rsidRDefault="00200EFF">
      <w:pPr>
        <w:rPr>
          <w:b/>
          <w:color w:val="1F3864"/>
          <w:sz w:val="21"/>
          <w:szCs w:val="21"/>
        </w:rPr>
      </w:pPr>
    </w:p>
    <w:p w14:paraId="59BB45E7" w14:textId="77777777" w:rsidR="00200EFF" w:rsidRDefault="00000000">
      <w:pPr>
        <w:rPr>
          <w:b/>
          <w:color w:val="1F3864"/>
          <w:sz w:val="21"/>
          <w:szCs w:val="21"/>
        </w:rPr>
      </w:pPr>
      <w:r>
        <w:rPr>
          <w:b/>
          <w:noProof/>
          <w:color w:val="1F3864"/>
          <w:sz w:val="21"/>
          <w:szCs w:val="21"/>
        </w:rPr>
        <w:drawing>
          <wp:inline distT="114300" distB="114300" distL="114300" distR="114300" wp14:anchorId="59BB4694" wp14:editId="59BB4695">
            <wp:extent cx="6188400" cy="4114800"/>
            <wp:effectExtent l="12700" t="12700" r="12700" b="12700"/>
            <wp:docPr id="4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5"/>
                    <a:srcRect/>
                    <a:stretch>
                      <a:fillRect/>
                    </a:stretch>
                  </pic:blipFill>
                  <pic:spPr>
                    <a:xfrm>
                      <a:off x="0" y="0"/>
                      <a:ext cx="6188400" cy="4114800"/>
                    </a:xfrm>
                    <a:prstGeom prst="rect">
                      <a:avLst/>
                    </a:prstGeom>
                    <a:ln w="12700">
                      <a:solidFill>
                        <a:srgbClr val="D9D9D9"/>
                      </a:solidFill>
                      <a:prstDash val="solid"/>
                    </a:ln>
                  </pic:spPr>
                </pic:pic>
              </a:graphicData>
            </a:graphic>
          </wp:inline>
        </w:drawing>
      </w:r>
    </w:p>
    <w:p w14:paraId="59BB45E8" w14:textId="77777777" w:rsidR="00200EFF" w:rsidRDefault="00000000">
      <w:pPr>
        <w:jc w:val="center"/>
        <w:rPr>
          <w:sz w:val="16"/>
          <w:szCs w:val="16"/>
        </w:rPr>
      </w:pPr>
      <w:r>
        <w:rPr>
          <w:b/>
          <w:sz w:val="16"/>
          <w:szCs w:val="16"/>
        </w:rPr>
        <w:t xml:space="preserve">Figure 3 </w:t>
      </w:r>
      <w:r>
        <w:rPr>
          <w:sz w:val="16"/>
          <w:szCs w:val="16"/>
        </w:rPr>
        <w:t>Number of hot-humid days across Indonesia for 1998, 2010, and 2016.</w:t>
      </w:r>
    </w:p>
    <w:p w14:paraId="59BB45E9" w14:textId="77777777" w:rsidR="00200EFF" w:rsidRDefault="00200EFF">
      <w:pPr>
        <w:rPr>
          <w:b/>
          <w:i/>
          <w:color w:val="1F3864"/>
          <w:sz w:val="21"/>
          <w:szCs w:val="21"/>
        </w:rPr>
      </w:pPr>
    </w:p>
    <w:p w14:paraId="59BB45EA" w14:textId="77777777" w:rsidR="00200EFF" w:rsidRDefault="00000000">
      <w:pPr>
        <w:rPr>
          <w:b/>
          <w:color w:val="1F3864"/>
          <w:sz w:val="21"/>
          <w:szCs w:val="21"/>
        </w:rPr>
      </w:pPr>
      <w:r>
        <w:rPr>
          <w:b/>
          <w:i/>
          <w:color w:val="1F3864"/>
          <w:sz w:val="21"/>
          <w:szCs w:val="21"/>
        </w:rPr>
        <w:t xml:space="preserve">Long-lasting conditions of </w:t>
      </w:r>
      <w:proofErr w:type="gramStart"/>
      <w:r>
        <w:rPr>
          <w:b/>
          <w:i/>
          <w:color w:val="1F3864"/>
          <w:sz w:val="21"/>
          <w:szCs w:val="21"/>
        </w:rPr>
        <w:t>humid-heat</w:t>
      </w:r>
      <w:proofErr w:type="gramEnd"/>
      <w:r>
        <w:rPr>
          <w:b/>
          <w:i/>
          <w:color w:val="1F3864"/>
          <w:sz w:val="21"/>
          <w:szCs w:val="21"/>
        </w:rPr>
        <w:t xml:space="preserve"> </w:t>
      </w:r>
    </w:p>
    <w:p w14:paraId="59BB45EB" w14:textId="77777777" w:rsidR="00200EFF" w:rsidRDefault="00000000">
      <w:pPr>
        <w:jc w:val="both"/>
        <w:rPr>
          <w:sz w:val="21"/>
          <w:szCs w:val="21"/>
        </w:rPr>
      </w:pPr>
      <w:r>
        <w:rPr>
          <w:sz w:val="21"/>
          <w:szCs w:val="21"/>
        </w:rPr>
        <w:t xml:space="preserve">From 1983-2016, long-lasting conditions of dangerous </w:t>
      </w:r>
      <w:proofErr w:type="gramStart"/>
      <w:r>
        <w:rPr>
          <w:sz w:val="21"/>
          <w:szCs w:val="21"/>
        </w:rPr>
        <w:t>humid-heat</w:t>
      </w:r>
      <w:proofErr w:type="gramEnd"/>
      <w:r>
        <w:rPr>
          <w:sz w:val="21"/>
          <w:szCs w:val="21"/>
        </w:rPr>
        <w:t xml:space="preserve"> were observed across Indonesia, with Table 1 listing the top 10 longest episodes. The average temperature observed during these episodes of </w:t>
      </w:r>
      <w:proofErr w:type="gramStart"/>
      <w:r>
        <w:rPr>
          <w:sz w:val="21"/>
          <w:szCs w:val="21"/>
        </w:rPr>
        <w:t>humid-heat</w:t>
      </w:r>
      <w:proofErr w:type="gramEnd"/>
      <w:r>
        <w:rPr>
          <w:sz w:val="21"/>
          <w:szCs w:val="21"/>
        </w:rPr>
        <w:t xml:space="preserve"> was 30.7 °C. All top 10 of these events occurred either in 1998 or in 2016, and all started in March. This could be </w:t>
      </w:r>
      <w:r>
        <w:rPr>
          <w:sz w:val="21"/>
          <w:szCs w:val="21"/>
        </w:rPr>
        <w:lastRenderedPageBreak/>
        <w:t>explained as 1997/98 was one of the most powerful El Niño years, which have also resulted in significant land and forest fires across Indonesia, releasing high carbon emissions, exacerbating air pollution, and affecting at least 20 million people’s health [19]. Another El Nino lasting from 2014 to May 2016 contributed to drought, reduced harvests, and intensified fires. Heat stress and air pollution on its own are problematic for human health, but when occurring at the same time they can result in much worse health outcomes through compounding effects. As heat stress, drought, and wildfires are coupled, it is important to understand the compound effects faced during such episodes in Indonesia.</w:t>
      </w:r>
    </w:p>
    <w:p w14:paraId="59BB45EC" w14:textId="77777777" w:rsidR="00200EFF" w:rsidRDefault="00200EFF">
      <w:pPr>
        <w:rPr>
          <w:sz w:val="21"/>
          <w:szCs w:val="21"/>
        </w:rPr>
      </w:pPr>
    </w:p>
    <w:p w14:paraId="59BB45ED" w14:textId="77777777" w:rsidR="00200EFF" w:rsidRDefault="00000000">
      <w:pPr>
        <w:rPr>
          <w:sz w:val="18"/>
          <w:szCs w:val="18"/>
        </w:rPr>
      </w:pPr>
      <w:r>
        <w:rPr>
          <w:b/>
          <w:sz w:val="18"/>
          <w:szCs w:val="18"/>
        </w:rPr>
        <w:t>Table 1.</w:t>
      </w:r>
      <w:r>
        <w:rPr>
          <w:sz w:val="18"/>
          <w:szCs w:val="18"/>
        </w:rPr>
        <w:t xml:space="preserve"> Top 10 longest humid-heat conditions across Indonesia </w:t>
      </w:r>
    </w:p>
    <w:tbl>
      <w:tblPr>
        <w:tblStyle w:val="a"/>
        <w:tblW w:w="9634" w:type="dxa"/>
        <w:tblBorders>
          <w:top w:val="nil"/>
          <w:left w:val="nil"/>
          <w:bottom w:val="nil"/>
          <w:right w:val="nil"/>
          <w:insideH w:val="nil"/>
          <w:insideV w:val="nil"/>
        </w:tblBorders>
        <w:tblLayout w:type="fixed"/>
        <w:tblLook w:val="0400" w:firstRow="0" w:lastRow="0" w:firstColumn="0" w:lastColumn="0" w:noHBand="0" w:noVBand="1"/>
      </w:tblPr>
      <w:tblGrid>
        <w:gridCol w:w="1980"/>
        <w:gridCol w:w="1417"/>
        <w:gridCol w:w="2268"/>
        <w:gridCol w:w="1985"/>
        <w:gridCol w:w="1984"/>
      </w:tblGrid>
      <w:tr w:rsidR="00200EFF" w14:paraId="59BB45F3" w14:textId="77777777">
        <w:tc>
          <w:tcPr>
            <w:tcW w:w="1980" w:type="dxa"/>
            <w:tcBorders>
              <w:top w:val="single" w:sz="4" w:space="0" w:color="000000"/>
              <w:left w:val="single" w:sz="4" w:space="0" w:color="000000"/>
              <w:bottom w:val="single" w:sz="4" w:space="0" w:color="000000"/>
            </w:tcBorders>
          </w:tcPr>
          <w:p w14:paraId="59BB45EE" w14:textId="77777777" w:rsidR="00200EFF" w:rsidRDefault="00000000">
            <w:pPr>
              <w:spacing w:line="360" w:lineRule="auto"/>
              <w:rPr>
                <w:b/>
                <w:sz w:val="18"/>
                <w:szCs w:val="18"/>
              </w:rPr>
            </w:pPr>
            <w:r>
              <w:rPr>
                <w:b/>
                <w:sz w:val="18"/>
                <w:szCs w:val="18"/>
              </w:rPr>
              <w:t>Location</w:t>
            </w:r>
          </w:p>
        </w:tc>
        <w:tc>
          <w:tcPr>
            <w:tcW w:w="1417" w:type="dxa"/>
            <w:tcBorders>
              <w:top w:val="single" w:sz="4" w:space="0" w:color="000000"/>
              <w:bottom w:val="single" w:sz="4" w:space="0" w:color="000000"/>
            </w:tcBorders>
          </w:tcPr>
          <w:p w14:paraId="59BB45EF" w14:textId="77777777" w:rsidR="00200EFF" w:rsidRDefault="00000000">
            <w:pPr>
              <w:spacing w:line="360" w:lineRule="auto"/>
              <w:rPr>
                <w:b/>
                <w:sz w:val="18"/>
                <w:szCs w:val="18"/>
              </w:rPr>
            </w:pPr>
            <w:r>
              <w:rPr>
                <w:b/>
                <w:sz w:val="18"/>
                <w:szCs w:val="18"/>
              </w:rPr>
              <w:t>Start date</w:t>
            </w:r>
          </w:p>
        </w:tc>
        <w:tc>
          <w:tcPr>
            <w:tcW w:w="2268" w:type="dxa"/>
            <w:tcBorders>
              <w:top w:val="single" w:sz="4" w:space="0" w:color="000000"/>
              <w:bottom w:val="single" w:sz="4" w:space="0" w:color="000000"/>
            </w:tcBorders>
          </w:tcPr>
          <w:p w14:paraId="59BB45F0" w14:textId="77777777" w:rsidR="00200EFF" w:rsidRDefault="00000000">
            <w:pPr>
              <w:spacing w:line="360" w:lineRule="auto"/>
              <w:rPr>
                <w:b/>
                <w:sz w:val="18"/>
                <w:szCs w:val="18"/>
              </w:rPr>
            </w:pPr>
            <w:r>
              <w:rPr>
                <w:b/>
                <w:sz w:val="18"/>
                <w:szCs w:val="18"/>
              </w:rPr>
              <w:t xml:space="preserve">Duration </w:t>
            </w:r>
            <w:r>
              <w:rPr>
                <w:i/>
                <w:sz w:val="18"/>
                <w:szCs w:val="18"/>
              </w:rPr>
              <w:t>(Consecutive days of WBGT &gt; 30°C)</w:t>
            </w:r>
            <w:r>
              <w:rPr>
                <w:b/>
                <w:sz w:val="18"/>
                <w:szCs w:val="18"/>
              </w:rPr>
              <w:t xml:space="preserve"> </w:t>
            </w:r>
          </w:p>
        </w:tc>
        <w:tc>
          <w:tcPr>
            <w:tcW w:w="1985" w:type="dxa"/>
            <w:tcBorders>
              <w:top w:val="single" w:sz="4" w:space="0" w:color="000000"/>
              <w:bottom w:val="single" w:sz="4" w:space="0" w:color="000000"/>
            </w:tcBorders>
          </w:tcPr>
          <w:p w14:paraId="59BB45F1" w14:textId="77777777" w:rsidR="00200EFF" w:rsidRDefault="00000000">
            <w:pPr>
              <w:spacing w:line="360" w:lineRule="auto"/>
              <w:rPr>
                <w:b/>
                <w:sz w:val="18"/>
                <w:szCs w:val="18"/>
              </w:rPr>
            </w:pPr>
            <w:r>
              <w:rPr>
                <w:b/>
                <w:sz w:val="18"/>
                <w:szCs w:val="18"/>
              </w:rPr>
              <w:t xml:space="preserve">Average temperature </w:t>
            </w:r>
            <w:r>
              <w:rPr>
                <w:sz w:val="18"/>
                <w:szCs w:val="18"/>
              </w:rPr>
              <w:t>(°C)</w:t>
            </w:r>
            <w:r>
              <w:rPr>
                <w:b/>
                <w:sz w:val="18"/>
                <w:szCs w:val="18"/>
              </w:rPr>
              <w:t xml:space="preserve"> </w:t>
            </w:r>
          </w:p>
        </w:tc>
        <w:tc>
          <w:tcPr>
            <w:tcW w:w="1984" w:type="dxa"/>
            <w:tcBorders>
              <w:top w:val="single" w:sz="4" w:space="0" w:color="000000"/>
              <w:bottom w:val="single" w:sz="4" w:space="0" w:color="000000"/>
              <w:right w:val="single" w:sz="4" w:space="0" w:color="000000"/>
            </w:tcBorders>
          </w:tcPr>
          <w:p w14:paraId="59BB45F2" w14:textId="77777777" w:rsidR="00200EFF" w:rsidRDefault="00000000">
            <w:pPr>
              <w:spacing w:line="360" w:lineRule="auto"/>
              <w:rPr>
                <w:b/>
                <w:sz w:val="18"/>
                <w:szCs w:val="18"/>
              </w:rPr>
            </w:pPr>
            <w:r>
              <w:rPr>
                <w:b/>
                <w:sz w:val="18"/>
                <w:szCs w:val="18"/>
              </w:rPr>
              <w:t xml:space="preserve">Total intensity </w:t>
            </w:r>
            <w:r>
              <w:rPr>
                <w:i/>
                <w:sz w:val="18"/>
                <w:szCs w:val="18"/>
              </w:rPr>
              <w:t>(excess heat: cumulative °C above WBGT &gt; 30 °C)</w:t>
            </w:r>
            <w:r>
              <w:rPr>
                <w:b/>
                <w:sz w:val="18"/>
                <w:szCs w:val="18"/>
              </w:rPr>
              <w:t xml:space="preserve">  </w:t>
            </w:r>
          </w:p>
        </w:tc>
      </w:tr>
      <w:tr w:rsidR="00200EFF" w14:paraId="59BB45F9" w14:textId="77777777">
        <w:tc>
          <w:tcPr>
            <w:tcW w:w="1980" w:type="dxa"/>
            <w:tcBorders>
              <w:top w:val="single" w:sz="4" w:space="0" w:color="000000"/>
              <w:left w:val="single" w:sz="4" w:space="0" w:color="000000"/>
            </w:tcBorders>
            <w:vAlign w:val="bottom"/>
          </w:tcPr>
          <w:p w14:paraId="59BB45F4" w14:textId="77777777" w:rsidR="00200EFF" w:rsidRDefault="00000000">
            <w:pPr>
              <w:spacing w:line="360" w:lineRule="auto"/>
              <w:rPr>
                <w:sz w:val="18"/>
                <w:szCs w:val="18"/>
              </w:rPr>
            </w:pPr>
            <w:proofErr w:type="spellStart"/>
            <w:r>
              <w:rPr>
                <w:sz w:val="18"/>
                <w:szCs w:val="18"/>
              </w:rPr>
              <w:t>Pulo</w:t>
            </w:r>
            <w:proofErr w:type="spellEnd"/>
            <w:r>
              <w:rPr>
                <w:sz w:val="18"/>
                <w:szCs w:val="18"/>
              </w:rPr>
              <w:t xml:space="preserve"> </w:t>
            </w:r>
            <w:proofErr w:type="spellStart"/>
            <w:r>
              <w:rPr>
                <w:sz w:val="18"/>
                <w:szCs w:val="18"/>
              </w:rPr>
              <w:t>Rungkom</w:t>
            </w:r>
            <w:proofErr w:type="spellEnd"/>
          </w:p>
        </w:tc>
        <w:tc>
          <w:tcPr>
            <w:tcW w:w="1417" w:type="dxa"/>
            <w:tcBorders>
              <w:top w:val="single" w:sz="4" w:space="0" w:color="000000"/>
            </w:tcBorders>
          </w:tcPr>
          <w:p w14:paraId="59BB45F5" w14:textId="77777777" w:rsidR="00200EFF" w:rsidRDefault="00000000">
            <w:pPr>
              <w:spacing w:line="360" w:lineRule="auto"/>
              <w:rPr>
                <w:sz w:val="18"/>
                <w:szCs w:val="18"/>
              </w:rPr>
            </w:pPr>
            <w:r>
              <w:rPr>
                <w:sz w:val="18"/>
                <w:szCs w:val="18"/>
              </w:rPr>
              <w:t xml:space="preserve">1998/03/24 </w:t>
            </w:r>
          </w:p>
        </w:tc>
        <w:tc>
          <w:tcPr>
            <w:tcW w:w="2268" w:type="dxa"/>
            <w:tcBorders>
              <w:top w:val="single" w:sz="4" w:space="0" w:color="000000"/>
            </w:tcBorders>
            <w:vAlign w:val="bottom"/>
          </w:tcPr>
          <w:p w14:paraId="59BB45F6" w14:textId="77777777" w:rsidR="00200EFF" w:rsidRDefault="00000000">
            <w:pPr>
              <w:spacing w:line="360" w:lineRule="auto"/>
              <w:rPr>
                <w:sz w:val="18"/>
                <w:szCs w:val="18"/>
              </w:rPr>
            </w:pPr>
            <w:r>
              <w:rPr>
                <w:sz w:val="18"/>
                <w:szCs w:val="18"/>
              </w:rPr>
              <w:t xml:space="preserve">69 </w:t>
            </w:r>
          </w:p>
        </w:tc>
        <w:tc>
          <w:tcPr>
            <w:tcW w:w="1985" w:type="dxa"/>
            <w:tcBorders>
              <w:top w:val="single" w:sz="4" w:space="0" w:color="000000"/>
            </w:tcBorders>
            <w:vAlign w:val="bottom"/>
          </w:tcPr>
          <w:p w14:paraId="59BB45F7" w14:textId="77777777" w:rsidR="00200EFF" w:rsidRDefault="00000000">
            <w:pPr>
              <w:spacing w:line="360" w:lineRule="auto"/>
              <w:rPr>
                <w:sz w:val="18"/>
                <w:szCs w:val="18"/>
              </w:rPr>
            </w:pPr>
            <w:r>
              <w:rPr>
                <w:sz w:val="18"/>
                <w:szCs w:val="18"/>
              </w:rPr>
              <w:t>30.8</w:t>
            </w:r>
          </w:p>
        </w:tc>
        <w:tc>
          <w:tcPr>
            <w:tcW w:w="1984" w:type="dxa"/>
            <w:tcBorders>
              <w:top w:val="single" w:sz="4" w:space="0" w:color="000000"/>
              <w:right w:val="single" w:sz="4" w:space="0" w:color="000000"/>
            </w:tcBorders>
            <w:vAlign w:val="bottom"/>
          </w:tcPr>
          <w:p w14:paraId="59BB45F8" w14:textId="77777777" w:rsidR="00200EFF" w:rsidRDefault="00000000">
            <w:pPr>
              <w:spacing w:line="360" w:lineRule="auto"/>
              <w:rPr>
                <w:sz w:val="18"/>
                <w:szCs w:val="18"/>
              </w:rPr>
            </w:pPr>
            <w:r>
              <w:rPr>
                <w:sz w:val="18"/>
                <w:szCs w:val="18"/>
              </w:rPr>
              <w:t>56.2</w:t>
            </w:r>
          </w:p>
        </w:tc>
      </w:tr>
      <w:tr w:rsidR="00200EFF" w14:paraId="59BB45FF" w14:textId="77777777">
        <w:tc>
          <w:tcPr>
            <w:tcW w:w="1980" w:type="dxa"/>
            <w:tcBorders>
              <w:left w:val="single" w:sz="4" w:space="0" w:color="000000"/>
            </w:tcBorders>
            <w:vAlign w:val="bottom"/>
          </w:tcPr>
          <w:p w14:paraId="59BB45FA" w14:textId="77777777" w:rsidR="00200EFF" w:rsidRDefault="00000000">
            <w:pPr>
              <w:spacing w:line="360" w:lineRule="auto"/>
              <w:rPr>
                <w:sz w:val="18"/>
                <w:szCs w:val="18"/>
              </w:rPr>
            </w:pPr>
            <w:proofErr w:type="spellStart"/>
            <w:r>
              <w:rPr>
                <w:sz w:val="18"/>
                <w:szCs w:val="18"/>
              </w:rPr>
              <w:t>Pulo</w:t>
            </w:r>
            <w:proofErr w:type="spellEnd"/>
            <w:r>
              <w:rPr>
                <w:sz w:val="18"/>
                <w:szCs w:val="18"/>
              </w:rPr>
              <w:t xml:space="preserve"> </w:t>
            </w:r>
            <w:proofErr w:type="spellStart"/>
            <w:r>
              <w:rPr>
                <w:sz w:val="18"/>
                <w:szCs w:val="18"/>
              </w:rPr>
              <w:t>Rungkom</w:t>
            </w:r>
            <w:proofErr w:type="spellEnd"/>
          </w:p>
        </w:tc>
        <w:tc>
          <w:tcPr>
            <w:tcW w:w="1417" w:type="dxa"/>
          </w:tcPr>
          <w:p w14:paraId="59BB45FB" w14:textId="77777777" w:rsidR="00200EFF" w:rsidRDefault="00000000">
            <w:pPr>
              <w:spacing w:line="360" w:lineRule="auto"/>
              <w:rPr>
                <w:sz w:val="18"/>
                <w:szCs w:val="18"/>
              </w:rPr>
            </w:pPr>
            <w:r>
              <w:rPr>
                <w:sz w:val="18"/>
                <w:szCs w:val="18"/>
              </w:rPr>
              <w:t xml:space="preserve">2016/03/03  </w:t>
            </w:r>
          </w:p>
        </w:tc>
        <w:tc>
          <w:tcPr>
            <w:tcW w:w="2268" w:type="dxa"/>
            <w:vAlign w:val="bottom"/>
          </w:tcPr>
          <w:p w14:paraId="59BB45FC" w14:textId="77777777" w:rsidR="00200EFF" w:rsidRDefault="00000000">
            <w:pPr>
              <w:spacing w:line="360" w:lineRule="auto"/>
              <w:rPr>
                <w:sz w:val="18"/>
                <w:szCs w:val="18"/>
              </w:rPr>
            </w:pPr>
            <w:r>
              <w:rPr>
                <w:sz w:val="18"/>
                <w:szCs w:val="18"/>
              </w:rPr>
              <w:t>65</w:t>
            </w:r>
          </w:p>
        </w:tc>
        <w:tc>
          <w:tcPr>
            <w:tcW w:w="1985" w:type="dxa"/>
            <w:vAlign w:val="bottom"/>
          </w:tcPr>
          <w:p w14:paraId="59BB45FD" w14:textId="77777777" w:rsidR="00200EFF" w:rsidRDefault="00000000">
            <w:pPr>
              <w:spacing w:line="360" w:lineRule="auto"/>
              <w:rPr>
                <w:sz w:val="18"/>
                <w:szCs w:val="18"/>
              </w:rPr>
            </w:pPr>
            <w:r>
              <w:rPr>
                <w:sz w:val="18"/>
                <w:szCs w:val="18"/>
              </w:rPr>
              <w:t>30.7</w:t>
            </w:r>
          </w:p>
        </w:tc>
        <w:tc>
          <w:tcPr>
            <w:tcW w:w="1984" w:type="dxa"/>
            <w:tcBorders>
              <w:right w:val="single" w:sz="4" w:space="0" w:color="000000"/>
            </w:tcBorders>
            <w:vAlign w:val="bottom"/>
          </w:tcPr>
          <w:p w14:paraId="59BB45FE" w14:textId="77777777" w:rsidR="00200EFF" w:rsidRDefault="00000000">
            <w:pPr>
              <w:spacing w:line="360" w:lineRule="auto"/>
              <w:rPr>
                <w:sz w:val="18"/>
                <w:szCs w:val="18"/>
              </w:rPr>
            </w:pPr>
            <w:r>
              <w:rPr>
                <w:sz w:val="18"/>
                <w:szCs w:val="18"/>
              </w:rPr>
              <w:t>47.1</w:t>
            </w:r>
          </w:p>
        </w:tc>
      </w:tr>
      <w:tr w:rsidR="00200EFF" w14:paraId="59BB4605" w14:textId="77777777">
        <w:tc>
          <w:tcPr>
            <w:tcW w:w="1980" w:type="dxa"/>
            <w:tcBorders>
              <w:left w:val="single" w:sz="4" w:space="0" w:color="000000"/>
            </w:tcBorders>
            <w:vAlign w:val="bottom"/>
          </w:tcPr>
          <w:p w14:paraId="59BB4600" w14:textId="77777777" w:rsidR="00200EFF" w:rsidRDefault="00000000">
            <w:pPr>
              <w:spacing w:line="360" w:lineRule="auto"/>
              <w:rPr>
                <w:sz w:val="18"/>
                <w:szCs w:val="18"/>
              </w:rPr>
            </w:pPr>
            <w:proofErr w:type="spellStart"/>
            <w:r>
              <w:rPr>
                <w:sz w:val="18"/>
                <w:szCs w:val="18"/>
              </w:rPr>
              <w:t>Sono</w:t>
            </w:r>
            <w:proofErr w:type="spellEnd"/>
          </w:p>
        </w:tc>
        <w:tc>
          <w:tcPr>
            <w:tcW w:w="1417" w:type="dxa"/>
          </w:tcPr>
          <w:p w14:paraId="59BB4601" w14:textId="77777777" w:rsidR="00200EFF" w:rsidRDefault="00000000">
            <w:pPr>
              <w:spacing w:line="360" w:lineRule="auto"/>
              <w:rPr>
                <w:sz w:val="18"/>
                <w:szCs w:val="18"/>
              </w:rPr>
            </w:pPr>
            <w:r>
              <w:rPr>
                <w:sz w:val="18"/>
                <w:szCs w:val="18"/>
              </w:rPr>
              <w:t>2016/03/04</w:t>
            </w:r>
          </w:p>
        </w:tc>
        <w:tc>
          <w:tcPr>
            <w:tcW w:w="2268" w:type="dxa"/>
            <w:vAlign w:val="bottom"/>
          </w:tcPr>
          <w:p w14:paraId="59BB4602" w14:textId="77777777" w:rsidR="00200EFF" w:rsidRDefault="00000000">
            <w:pPr>
              <w:spacing w:line="360" w:lineRule="auto"/>
              <w:rPr>
                <w:sz w:val="18"/>
                <w:szCs w:val="18"/>
              </w:rPr>
            </w:pPr>
            <w:r>
              <w:rPr>
                <w:sz w:val="18"/>
                <w:szCs w:val="18"/>
              </w:rPr>
              <w:t>58</w:t>
            </w:r>
          </w:p>
        </w:tc>
        <w:tc>
          <w:tcPr>
            <w:tcW w:w="1985" w:type="dxa"/>
            <w:vAlign w:val="bottom"/>
          </w:tcPr>
          <w:p w14:paraId="59BB4603" w14:textId="77777777" w:rsidR="00200EFF" w:rsidRDefault="00000000">
            <w:pPr>
              <w:spacing w:line="360" w:lineRule="auto"/>
              <w:rPr>
                <w:sz w:val="18"/>
                <w:szCs w:val="18"/>
              </w:rPr>
            </w:pPr>
            <w:r>
              <w:rPr>
                <w:sz w:val="18"/>
                <w:szCs w:val="18"/>
              </w:rPr>
              <w:t>30.6</w:t>
            </w:r>
          </w:p>
        </w:tc>
        <w:tc>
          <w:tcPr>
            <w:tcW w:w="1984" w:type="dxa"/>
            <w:tcBorders>
              <w:right w:val="single" w:sz="4" w:space="0" w:color="000000"/>
            </w:tcBorders>
            <w:vAlign w:val="bottom"/>
          </w:tcPr>
          <w:p w14:paraId="59BB4604" w14:textId="77777777" w:rsidR="00200EFF" w:rsidRDefault="00000000">
            <w:pPr>
              <w:spacing w:line="360" w:lineRule="auto"/>
              <w:rPr>
                <w:sz w:val="18"/>
                <w:szCs w:val="18"/>
              </w:rPr>
            </w:pPr>
            <w:r>
              <w:rPr>
                <w:sz w:val="18"/>
                <w:szCs w:val="18"/>
              </w:rPr>
              <w:t>37.0</w:t>
            </w:r>
          </w:p>
        </w:tc>
      </w:tr>
      <w:tr w:rsidR="00200EFF" w14:paraId="59BB460B" w14:textId="77777777">
        <w:tc>
          <w:tcPr>
            <w:tcW w:w="1980" w:type="dxa"/>
            <w:tcBorders>
              <w:left w:val="single" w:sz="4" w:space="0" w:color="000000"/>
            </w:tcBorders>
            <w:vAlign w:val="bottom"/>
          </w:tcPr>
          <w:p w14:paraId="59BB4606" w14:textId="77777777" w:rsidR="00200EFF" w:rsidRDefault="00000000">
            <w:pPr>
              <w:spacing w:line="360" w:lineRule="auto"/>
              <w:rPr>
                <w:sz w:val="18"/>
                <w:szCs w:val="18"/>
              </w:rPr>
            </w:pPr>
            <w:proofErr w:type="spellStart"/>
            <w:r>
              <w:rPr>
                <w:sz w:val="18"/>
                <w:szCs w:val="18"/>
              </w:rPr>
              <w:t>Lhokseumawe</w:t>
            </w:r>
            <w:proofErr w:type="spellEnd"/>
          </w:p>
        </w:tc>
        <w:tc>
          <w:tcPr>
            <w:tcW w:w="1417" w:type="dxa"/>
          </w:tcPr>
          <w:p w14:paraId="59BB4607" w14:textId="77777777" w:rsidR="00200EFF" w:rsidRDefault="00000000">
            <w:pPr>
              <w:spacing w:line="360" w:lineRule="auto"/>
              <w:rPr>
                <w:sz w:val="18"/>
                <w:szCs w:val="18"/>
              </w:rPr>
            </w:pPr>
            <w:r>
              <w:rPr>
                <w:sz w:val="18"/>
                <w:szCs w:val="18"/>
              </w:rPr>
              <w:t>1998/03/24</w:t>
            </w:r>
          </w:p>
        </w:tc>
        <w:tc>
          <w:tcPr>
            <w:tcW w:w="2268" w:type="dxa"/>
            <w:vAlign w:val="bottom"/>
          </w:tcPr>
          <w:p w14:paraId="59BB4608" w14:textId="77777777" w:rsidR="00200EFF" w:rsidRDefault="00000000">
            <w:pPr>
              <w:spacing w:line="360" w:lineRule="auto"/>
              <w:rPr>
                <w:sz w:val="18"/>
                <w:szCs w:val="18"/>
              </w:rPr>
            </w:pPr>
            <w:r>
              <w:rPr>
                <w:sz w:val="18"/>
                <w:szCs w:val="18"/>
              </w:rPr>
              <w:t>51</w:t>
            </w:r>
          </w:p>
        </w:tc>
        <w:tc>
          <w:tcPr>
            <w:tcW w:w="1985" w:type="dxa"/>
            <w:vAlign w:val="bottom"/>
          </w:tcPr>
          <w:p w14:paraId="59BB4609" w14:textId="77777777" w:rsidR="00200EFF" w:rsidRDefault="00000000">
            <w:pPr>
              <w:spacing w:line="360" w:lineRule="auto"/>
              <w:rPr>
                <w:sz w:val="18"/>
                <w:szCs w:val="18"/>
              </w:rPr>
            </w:pPr>
            <w:r>
              <w:rPr>
                <w:sz w:val="18"/>
                <w:szCs w:val="18"/>
              </w:rPr>
              <w:t>30.7</w:t>
            </w:r>
          </w:p>
        </w:tc>
        <w:tc>
          <w:tcPr>
            <w:tcW w:w="1984" w:type="dxa"/>
            <w:tcBorders>
              <w:right w:val="single" w:sz="4" w:space="0" w:color="000000"/>
            </w:tcBorders>
            <w:vAlign w:val="bottom"/>
          </w:tcPr>
          <w:p w14:paraId="59BB460A" w14:textId="77777777" w:rsidR="00200EFF" w:rsidRDefault="00000000">
            <w:pPr>
              <w:spacing w:line="360" w:lineRule="auto"/>
              <w:rPr>
                <w:sz w:val="18"/>
                <w:szCs w:val="18"/>
              </w:rPr>
            </w:pPr>
            <w:r>
              <w:rPr>
                <w:sz w:val="18"/>
                <w:szCs w:val="18"/>
              </w:rPr>
              <w:t>37.6</w:t>
            </w:r>
          </w:p>
        </w:tc>
      </w:tr>
      <w:tr w:rsidR="00200EFF" w14:paraId="59BB4611" w14:textId="77777777">
        <w:tc>
          <w:tcPr>
            <w:tcW w:w="1980" w:type="dxa"/>
            <w:tcBorders>
              <w:left w:val="single" w:sz="4" w:space="0" w:color="000000"/>
            </w:tcBorders>
            <w:vAlign w:val="bottom"/>
          </w:tcPr>
          <w:p w14:paraId="59BB460C" w14:textId="77777777" w:rsidR="00200EFF" w:rsidRDefault="00000000">
            <w:pPr>
              <w:spacing w:line="360" w:lineRule="auto"/>
              <w:rPr>
                <w:sz w:val="18"/>
                <w:szCs w:val="18"/>
              </w:rPr>
            </w:pPr>
            <w:r>
              <w:rPr>
                <w:sz w:val="18"/>
                <w:szCs w:val="18"/>
              </w:rPr>
              <w:t xml:space="preserve">Pelabuhan </w:t>
            </w:r>
            <w:proofErr w:type="spellStart"/>
            <w:r>
              <w:rPr>
                <w:sz w:val="18"/>
                <w:szCs w:val="18"/>
              </w:rPr>
              <w:t>Nelayan</w:t>
            </w:r>
            <w:proofErr w:type="spellEnd"/>
          </w:p>
        </w:tc>
        <w:tc>
          <w:tcPr>
            <w:tcW w:w="1417" w:type="dxa"/>
          </w:tcPr>
          <w:p w14:paraId="59BB460D" w14:textId="77777777" w:rsidR="00200EFF" w:rsidRDefault="00000000">
            <w:pPr>
              <w:spacing w:line="360" w:lineRule="auto"/>
              <w:rPr>
                <w:sz w:val="18"/>
                <w:szCs w:val="18"/>
              </w:rPr>
            </w:pPr>
            <w:r>
              <w:rPr>
                <w:sz w:val="18"/>
                <w:szCs w:val="18"/>
              </w:rPr>
              <w:t>1998/03/23</w:t>
            </w:r>
          </w:p>
        </w:tc>
        <w:tc>
          <w:tcPr>
            <w:tcW w:w="2268" w:type="dxa"/>
            <w:vAlign w:val="bottom"/>
          </w:tcPr>
          <w:p w14:paraId="59BB460E" w14:textId="77777777" w:rsidR="00200EFF" w:rsidRDefault="00000000">
            <w:pPr>
              <w:spacing w:line="360" w:lineRule="auto"/>
              <w:rPr>
                <w:sz w:val="18"/>
                <w:szCs w:val="18"/>
              </w:rPr>
            </w:pPr>
            <w:r>
              <w:rPr>
                <w:sz w:val="18"/>
                <w:szCs w:val="18"/>
              </w:rPr>
              <w:t>50</w:t>
            </w:r>
          </w:p>
        </w:tc>
        <w:tc>
          <w:tcPr>
            <w:tcW w:w="1985" w:type="dxa"/>
            <w:vAlign w:val="bottom"/>
          </w:tcPr>
          <w:p w14:paraId="59BB460F" w14:textId="77777777" w:rsidR="00200EFF" w:rsidRDefault="00000000">
            <w:pPr>
              <w:spacing w:line="360" w:lineRule="auto"/>
              <w:rPr>
                <w:sz w:val="18"/>
                <w:szCs w:val="18"/>
              </w:rPr>
            </w:pPr>
            <w:r>
              <w:rPr>
                <w:sz w:val="18"/>
                <w:szCs w:val="18"/>
              </w:rPr>
              <w:t>30.7</w:t>
            </w:r>
          </w:p>
        </w:tc>
        <w:tc>
          <w:tcPr>
            <w:tcW w:w="1984" w:type="dxa"/>
            <w:tcBorders>
              <w:right w:val="single" w:sz="4" w:space="0" w:color="000000"/>
            </w:tcBorders>
            <w:vAlign w:val="bottom"/>
          </w:tcPr>
          <w:p w14:paraId="59BB4610" w14:textId="77777777" w:rsidR="00200EFF" w:rsidRDefault="00000000">
            <w:pPr>
              <w:spacing w:line="360" w:lineRule="auto"/>
              <w:rPr>
                <w:sz w:val="18"/>
                <w:szCs w:val="18"/>
              </w:rPr>
            </w:pPr>
            <w:r>
              <w:rPr>
                <w:sz w:val="18"/>
                <w:szCs w:val="18"/>
              </w:rPr>
              <w:t>36.4</w:t>
            </w:r>
          </w:p>
        </w:tc>
      </w:tr>
      <w:tr w:rsidR="00200EFF" w14:paraId="59BB4617" w14:textId="77777777">
        <w:tc>
          <w:tcPr>
            <w:tcW w:w="1980" w:type="dxa"/>
            <w:tcBorders>
              <w:left w:val="single" w:sz="4" w:space="0" w:color="000000"/>
            </w:tcBorders>
            <w:vAlign w:val="bottom"/>
          </w:tcPr>
          <w:p w14:paraId="59BB4612" w14:textId="77777777" w:rsidR="00200EFF" w:rsidRDefault="00000000">
            <w:pPr>
              <w:spacing w:line="360" w:lineRule="auto"/>
              <w:rPr>
                <w:sz w:val="18"/>
                <w:szCs w:val="18"/>
              </w:rPr>
            </w:pPr>
            <w:proofErr w:type="spellStart"/>
            <w:r>
              <w:rPr>
                <w:sz w:val="18"/>
                <w:szCs w:val="18"/>
              </w:rPr>
              <w:t>Lhokseumawe</w:t>
            </w:r>
            <w:proofErr w:type="spellEnd"/>
          </w:p>
        </w:tc>
        <w:tc>
          <w:tcPr>
            <w:tcW w:w="1417" w:type="dxa"/>
          </w:tcPr>
          <w:p w14:paraId="59BB4613" w14:textId="77777777" w:rsidR="00200EFF" w:rsidRDefault="00000000">
            <w:pPr>
              <w:spacing w:line="360" w:lineRule="auto"/>
              <w:rPr>
                <w:sz w:val="18"/>
                <w:szCs w:val="18"/>
              </w:rPr>
            </w:pPr>
            <w:r>
              <w:rPr>
                <w:sz w:val="18"/>
                <w:szCs w:val="18"/>
              </w:rPr>
              <w:t>2016/03/03</w:t>
            </w:r>
          </w:p>
        </w:tc>
        <w:tc>
          <w:tcPr>
            <w:tcW w:w="2268" w:type="dxa"/>
            <w:vAlign w:val="bottom"/>
          </w:tcPr>
          <w:p w14:paraId="59BB4614" w14:textId="77777777" w:rsidR="00200EFF" w:rsidRDefault="00000000">
            <w:pPr>
              <w:spacing w:line="360" w:lineRule="auto"/>
              <w:rPr>
                <w:sz w:val="18"/>
                <w:szCs w:val="18"/>
              </w:rPr>
            </w:pPr>
            <w:r>
              <w:rPr>
                <w:sz w:val="18"/>
                <w:szCs w:val="18"/>
              </w:rPr>
              <w:t>45</w:t>
            </w:r>
          </w:p>
        </w:tc>
        <w:tc>
          <w:tcPr>
            <w:tcW w:w="1985" w:type="dxa"/>
            <w:vAlign w:val="bottom"/>
          </w:tcPr>
          <w:p w14:paraId="59BB4615" w14:textId="77777777" w:rsidR="00200EFF" w:rsidRDefault="00000000">
            <w:pPr>
              <w:spacing w:line="360" w:lineRule="auto"/>
              <w:rPr>
                <w:sz w:val="18"/>
                <w:szCs w:val="18"/>
              </w:rPr>
            </w:pPr>
            <w:r>
              <w:rPr>
                <w:sz w:val="18"/>
                <w:szCs w:val="18"/>
              </w:rPr>
              <w:t>30.7</w:t>
            </w:r>
          </w:p>
        </w:tc>
        <w:tc>
          <w:tcPr>
            <w:tcW w:w="1984" w:type="dxa"/>
            <w:tcBorders>
              <w:right w:val="single" w:sz="4" w:space="0" w:color="000000"/>
            </w:tcBorders>
            <w:vAlign w:val="bottom"/>
          </w:tcPr>
          <w:p w14:paraId="59BB4616" w14:textId="77777777" w:rsidR="00200EFF" w:rsidRDefault="00000000">
            <w:pPr>
              <w:spacing w:line="360" w:lineRule="auto"/>
              <w:rPr>
                <w:sz w:val="18"/>
                <w:szCs w:val="18"/>
              </w:rPr>
            </w:pPr>
            <w:r>
              <w:rPr>
                <w:sz w:val="18"/>
                <w:szCs w:val="18"/>
              </w:rPr>
              <w:t>31.4</w:t>
            </w:r>
          </w:p>
        </w:tc>
      </w:tr>
      <w:tr w:rsidR="00200EFF" w14:paraId="59BB461D" w14:textId="77777777">
        <w:tc>
          <w:tcPr>
            <w:tcW w:w="1980" w:type="dxa"/>
            <w:tcBorders>
              <w:left w:val="single" w:sz="4" w:space="0" w:color="000000"/>
            </w:tcBorders>
            <w:vAlign w:val="bottom"/>
          </w:tcPr>
          <w:p w14:paraId="59BB4618" w14:textId="77777777" w:rsidR="00200EFF" w:rsidRDefault="00000000">
            <w:pPr>
              <w:spacing w:line="360" w:lineRule="auto"/>
              <w:rPr>
                <w:sz w:val="18"/>
                <w:szCs w:val="18"/>
              </w:rPr>
            </w:pPr>
            <w:proofErr w:type="spellStart"/>
            <w:r>
              <w:rPr>
                <w:sz w:val="18"/>
                <w:szCs w:val="18"/>
              </w:rPr>
              <w:t>Tanjung</w:t>
            </w:r>
            <w:proofErr w:type="spellEnd"/>
            <w:r>
              <w:rPr>
                <w:sz w:val="18"/>
                <w:szCs w:val="18"/>
              </w:rPr>
              <w:t xml:space="preserve"> </w:t>
            </w:r>
            <w:proofErr w:type="spellStart"/>
            <w:r>
              <w:rPr>
                <w:sz w:val="18"/>
                <w:szCs w:val="18"/>
              </w:rPr>
              <w:t>Balai</w:t>
            </w:r>
            <w:proofErr w:type="spellEnd"/>
          </w:p>
        </w:tc>
        <w:tc>
          <w:tcPr>
            <w:tcW w:w="1417" w:type="dxa"/>
          </w:tcPr>
          <w:p w14:paraId="59BB4619" w14:textId="77777777" w:rsidR="00200EFF" w:rsidRDefault="00000000">
            <w:pPr>
              <w:spacing w:line="360" w:lineRule="auto"/>
              <w:rPr>
                <w:sz w:val="18"/>
                <w:szCs w:val="18"/>
              </w:rPr>
            </w:pPr>
            <w:r>
              <w:rPr>
                <w:sz w:val="18"/>
                <w:szCs w:val="18"/>
              </w:rPr>
              <w:t>2016/03/23</w:t>
            </w:r>
          </w:p>
        </w:tc>
        <w:tc>
          <w:tcPr>
            <w:tcW w:w="2268" w:type="dxa"/>
            <w:vAlign w:val="bottom"/>
          </w:tcPr>
          <w:p w14:paraId="59BB461A" w14:textId="77777777" w:rsidR="00200EFF" w:rsidRDefault="00000000">
            <w:pPr>
              <w:spacing w:line="360" w:lineRule="auto"/>
              <w:rPr>
                <w:sz w:val="18"/>
                <w:szCs w:val="18"/>
              </w:rPr>
            </w:pPr>
            <w:r>
              <w:rPr>
                <w:sz w:val="18"/>
                <w:szCs w:val="18"/>
              </w:rPr>
              <w:t>45</w:t>
            </w:r>
          </w:p>
        </w:tc>
        <w:tc>
          <w:tcPr>
            <w:tcW w:w="1985" w:type="dxa"/>
            <w:vAlign w:val="bottom"/>
          </w:tcPr>
          <w:p w14:paraId="59BB461B" w14:textId="77777777" w:rsidR="00200EFF" w:rsidRDefault="00000000">
            <w:pPr>
              <w:spacing w:line="360" w:lineRule="auto"/>
              <w:rPr>
                <w:sz w:val="18"/>
                <w:szCs w:val="18"/>
              </w:rPr>
            </w:pPr>
            <w:r>
              <w:rPr>
                <w:sz w:val="18"/>
                <w:szCs w:val="18"/>
              </w:rPr>
              <w:t>31.0</w:t>
            </w:r>
          </w:p>
        </w:tc>
        <w:tc>
          <w:tcPr>
            <w:tcW w:w="1984" w:type="dxa"/>
            <w:tcBorders>
              <w:right w:val="single" w:sz="4" w:space="0" w:color="000000"/>
            </w:tcBorders>
            <w:vAlign w:val="bottom"/>
          </w:tcPr>
          <w:p w14:paraId="59BB461C" w14:textId="77777777" w:rsidR="00200EFF" w:rsidRDefault="00000000">
            <w:pPr>
              <w:spacing w:line="360" w:lineRule="auto"/>
              <w:rPr>
                <w:sz w:val="18"/>
                <w:szCs w:val="18"/>
              </w:rPr>
            </w:pPr>
            <w:r>
              <w:rPr>
                <w:sz w:val="18"/>
                <w:szCs w:val="18"/>
              </w:rPr>
              <w:t>44.0</w:t>
            </w:r>
          </w:p>
        </w:tc>
      </w:tr>
      <w:tr w:rsidR="00200EFF" w14:paraId="59BB4623" w14:textId="77777777">
        <w:tc>
          <w:tcPr>
            <w:tcW w:w="1980" w:type="dxa"/>
            <w:tcBorders>
              <w:left w:val="single" w:sz="4" w:space="0" w:color="000000"/>
            </w:tcBorders>
            <w:vAlign w:val="bottom"/>
          </w:tcPr>
          <w:p w14:paraId="59BB461E" w14:textId="77777777" w:rsidR="00200EFF" w:rsidRDefault="00000000">
            <w:pPr>
              <w:spacing w:line="360" w:lineRule="auto"/>
              <w:rPr>
                <w:sz w:val="18"/>
                <w:szCs w:val="18"/>
              </w:rPr>
            </w:pPr>
            <w:proofErr w:type="spellStart"/>
            <w:r>
              <w:rPr>
                <w:sz w:val="18"/>
                <w:szCs w:val="18"/>
              </w:rPr>
              <w:t>Bireun</w:t>
            </w:r>
            <w:proofErr w:type="spellEnd"/>
          </w:p>
        </w:tc>
        <w:tc>
          <w:tcPr>
            <w:tcW w:w="1417" w:type="dxa"/>
          </w:tcPr>
          <w:p w14:paraId="59BB461F" w14:textId="77777777" w:rsidR="00200EFF" w:rsidRDefault="00000000">
            <w:pPr>
              <w:spacing w:line="360" w:lineRule="auto"/>
              <w:rPr>
                <w:sz w:val="18"/>
                <w:szCs w:val="18"/>
              </w:rPr>
            </w:pPr>
            <w:r>
              <w:rPr>
                <w:sz w:val="18"/>
                <w:szCs w:val="18"/>
              </w:rPr>
              <w:t>2016/03/03</w:t>
            </w:r>
          </w:p>
        </w:tc>
        <w:tc>
          <w:tcPr>
            <w:tcW w:w="2268" w:type="dxa"/>
            <w:vAlign w:val="bottom"/>
          </w:tcPr>
          <w:p w14:paraId="59BB4620" w14:textId="77777777" w:rsidR="00200EFF" w:rsidRDefault="00000000">
            <w:pPr>
              <w:spacing w:line="360" w:lineRule="auto"/>
              <w:rPr>
                <w:sz w:val="18"/>
                <w:szCs w:val="18"/>
              </w:rPr>
            </w:pPr>
            <w:r>
              <w:rPr>
                <w:sz w:val="18"/>
                <w:szCs w:val="18"/>
              </w:rPr>
              <w:t>43</w:t>
            </w:r>
          </w:p>
        </w:tc>
        <w:tc>
          <w:tcPr>
            <w:tcW w:w="1985" w:type="dxa"/>
            <w:vAlign w:val="bottom"/>
          </w:tcPr>
          <w:p w14:paraId="59BB4621" w14:textId="77777777" w:rsidR="00200EFF" w:rsidRDefault="00000000">
            <w:pPr>
              <w:spacing w:line="360" w:lineRule="auto"/>
              <w:rPr>
                <w:sz w:val="18"/>
                <w:szCs w:val="18"/>
              </w:rPr>
            </w:pPr>
            <w:r>
              <w:rPr>
                <w:sz w:val="18"/>
                <w:szCs w:val="18"/>
              </w:rPr>
              <w:t>30.5</w:t>
            </w:r>
          </w:p>
        </w:tc>
        <w:tc>
          <w:tcPr>
            <w:tcW w:w="1984" w:type="dxa"/>
            <w:tcBorders>
              <w:right w:val="single" w:sz="4" w:space="0" w:color="000000"/>
            </w:tcBorders>
            <w:vAlign w:val="bottom"/>
          </w:tcPr>
          <w:p w14:paraId="59BB4622" w14:textId="77777777" w:rsidR="00200EFF" w:rsidRDefault="00000000">
            <w:pPr>
              <w:spacing w:line="360" w:lineRule="auto"/>
              <w:rPr>
                <w:sz w:val="18"/>
                <w:szCs w:val="18"/>
              </w:rPr>
            </w:pPr>
            <w:r>
              <w:rPr>
                <w:sz w:val="18"/>
                <w:szCs w:val="18"/>
              </w:rPr>
              <w:t>22.5</w:t>
            </w:r>
          </w:p>
        </w:tc>
      </w:tr>
      <w:tr w:rsidR="00200EFF" w14:paraId="59BB4629" w14:textId="77777777">
        <w:tc>
          <w:tcPr>
            <w:tcW w:w="1980" w:type="dxa"/>
            <w:tcBorders>
              <w:left w:val="single" w:sz="4" w:space="0" w:color="000000"/>
            </w:tcBorders>
            <w:vAlign w:val="bottom"/>
          </w:tcPr>
          <w:p w14:paraId="59BB4624" w14:textId="77777777" w:rsidR="00200EFF" w:rsidRDefault="00000000">
            <w:pPr>
              <w:spacing w:line="360" w:lineRule="auto"/>
              <w:rPr>
                <w:sz w:val="18"/>
                <w:szCs w:val="18"/>
              </w:rPr>
            </w:pPr>
            <w:proofErr w:type="spellStart"/>
            <w:r>
              <w:rPr>
                <w:sz w:val="18"/>
                <w:szCs w:val="18"/>
              </w:rPr>
              <w:t>Sono</w:t>
            </w:r>
            <w:proofErr w:type="spellEnd"/>
          </w:p>
        </w:tc>
        <w:tc>
          <w:tcPr>
            <w:tcW w:w="1417" w:type="dxa"/>
          </w:tcPr>
          <w:p w14:paraId="59BB4625" w14:textId="77777777" w:rsidR="00200EFF" w:rsidRDefault="00000000">
            <w:pPr>
              <w:spacing w:line="360" w:lineRule="auto"/>
              <w:rPr>
                <w:sz w:val="18"/>
                <w:szCs w:val="18"/>
              </w:rPr>
            </w:pPr>
            <w:r>
              <w:rPr>
                <w:sz w:val="18"/>
                <w:szCs w:val="18"/>
              </w:rPr>
              <w:t>1998/03/19</w:t>
            </w:r>
          </w:p>
        </w:tc>
        <w:tc>
          <w:tcPr>
            <w:tcW w:w="2268" w:type="dxa"/>
            <w:vAlign w:val="bottom"/>
          </w:tcPr>
          <w:p w14:paraId="59BB4626" w14:textId="77777777" w:rsidR="00200EFF" w:rsidRDefault="00000000">
            <w:pPr>
              <w:spacing w:line="360" w:lineRule="auto"/>
              <w:rPr>
                <w:sz w:val="18"/>
                <w:szCs w:val="18"/>
              </w:rPr>
            </w:pPr>
            <w:r>
              <w:rPr>
                <w:sz w:val="18"/>
                <w:szCs w:val="18"/>
              </w:rPr>
              <w:t>43</w:t>
            </w:r>
          </w:p>
        </w:tc>
        <w:tc>
          <w:tcPr>
            <w:tcW w:w="1985" w:type="dxa"/>
            <w:vAlign w:val="bottom"/>
          </w:tcPr>
          <w:p w14:paraId="59BB4627" w14:textId="77777777" w:rsidR="00200EFF" w:rsidRDefault="00000000">
            <w:pPr>
              <w:spacing w:line="360" w:lineRule="auto"/>
              <w:rPr>
                <w:sz w:val="18"/>
                <w:szCs w:val="18"/>
              </w:rPr>
            </w:pPr>
            <w:r>
              <w:rPr>
                <w:sz w:val="18"/>
                <w:szCs w:val="18"/>
              </w:rPr>
              <w:t>30.7</w:t>
            </w:r>
          </w:p>
        </w:tc>
        <w:tc>
          <w:tcPr>
            <w:tcW w:w="1984" w:type="dxa"/>
            <w:tcBorders>
              <w:right w:val="single" w:sz="4" w:space="0" w:color="000000"/>
            </w:tcBorders>
            <w:vAlign w:val="bottom"/>
          </w:tcPr>
          <w:p w14:paraId="59BB4628" w14:textId="77777777" w:rsidR="00200EFF" w:rsidRDefault="00000000">
            <w:pPr>
              <w:spacing w:line="360" w:lineRule="auto"/>
              <w:rPr>
                <w:sz w:val="18"/>
                <w:szCs w:val="18"/>
              </w:rPr>
            </w:pPr>
            <w:r>
              <w:rPr>
                <w:sz w:val="18"/>
                <w:szCs w:val="18"/>
              </w:rPr>
              <w:t>28.3</w:t>
            </w:r>
          </w:p>
        </w:tc>
      </w:tr>
      <w:tr w:rsidR="00200EFF" w14:paraId="59BB462F" w14:textId="77777777">
        <w:tc>
          <w:tcPr>
            <w:tcW w:w="1980" w:type="dxa"/>
            <w:tcBorders>
              <w:left w:val="single" w:sz="4" w:space="0" w:color="000000"/>
              <w:bottom w:val="single" w:sz="4" w:space="0" w:color="000000"/>
            </w:tcBorders>
            <w:vAlign w:val="bottom"/>
          </w:tcPr>
          <w:p w14:paraId="59BB462A" w14:textId="77777777" w:rsidR="00200EFF" w:rsidRDefault="00000000">
            <w:pPr>
              <w:spacing w:line="360" w:lineRule="auto"/>
              <w:rPr>
                <w:sz w:val="18"/>
                <w:szCs w:val="18"/>
              </w:rPr>
            </w:pPr>
            <w:r>
              <w:rPr>
                <w:sz w:val="18"/>
                <w:szCs w:val="18"/>
              </w:rPr>
              <w:t xml:space="preserve">Pelabuhan </w:t>
            </w:r>
            <w:proofErr w:type="spellStart"/>
            <w:r>
              <w:rPr>
                <w:sz w:val="18"/>
                <w:szCs w:val="18"/>
              </w:rPr>
              <w:t>Nelayan</w:t>
            </w:r>
            <w:proofErr w:type="spellEnd"/>
          </w:p>
        </w:tc>
        <w:tc>
          <w:tcPr>
            <w:tcW w:w="1417" w:type="dxa"/>
            <w:tcBorders>
              <w:bottom w:val="single" w:sz="4" w:space="0" w:color="000000"/>
            </w:tcBorders>
          </w:tcPr>
          <w:p w14:paraId="59BB462B" w14:textId="77777777" w:rsidR="00200EFF" w:rsidRDefault="00000000">
            <w:pPr>
              <w:spacing w:line="360" w:lineRule="auto"/>
              <w:rPr>
                <w:sz w:val="18"/>
                <w:szCs w:val="18"/>
              </w:rPr>
            </w:pPr>
            <w:r>
              <w:rPr>
                <w:sz w:val="18"/>
                <w:szCs w:val="18"/>
              </w:rPr>
              <w:t>2016/03/30</w:t>
            </w:r>
          </w:p>
        </w:tc>
        <w:tc>
          <w:tcPr>
            <w:tcW w:w="2268" w:type="dxa"/>
            <w:tcBorders>
              <w:bottom w:val="single" w:sz="4" w:space="0" w:color="000000"/>
            </w:tcBorders>
            <w:vAlign w:val="bottom"/>
          </w:tcPr>
          <w:p w14:paraId="59BB462C" w14:textId="77777777" w:rsidR="00200EFF" w:rsidRDefault="00000000">
            <w:pPr>
              <w:spacing w:line="360" w:lineRule="auto"/>
              <w:rPr>
                <w:sz w:val="18"/>
                <w:szCs w:val="18"/>
              </w:rPr>
            </w:pPr>
            <w:r>
              <w:rPr>
                <w:sz w:val="18"/>
                <w:szCs w:val="18"/>
              </w:rPr>
              <w:t>42</w:t>
            </w:r>
          </w:p>
        </w:tc>
        <w:tc>
          <w:tcPr>
            <w:tcW w:w="1985" w:type="dxa"/>
            <w:tcBorders>
              <w:bottom w:val="single" w:sz="4" w:space="0" w:color="000000"/>
            </w:tcBorders>
            <w:vAlign w:val="bottom"/>
          </w:tcPr>
          <w:p w14:paraId="59BB462D" w14:textId="77777777" w:rsidR="00200EFF" w:rsidRDefault="00000000">
            <w:pPr>
              <w:spacing w:line="360" w:lineRule="auto"/>
              <w:rPr>
                <w:sz w:val="18"/>
                <w:szCs w:val="18"/>
              </w:rPr>
            </w:pPr>
            <w:r>
              <w:rPr>
                <w:sz w:val="18"/>
                <w:szCs w:val="18"/>
              </w:rPr>
              <w:t>30.7</w:t>
            </w:r>
          </w:p>
        </w:tc>
        <w:tc>
          <w:tcPr>
            <w:tcW w:w="1984" w:type="dxa"/>
            <w:tcBorders>
              <w:bottom w:val="single" w:sz="4" w:space="0" w:color="000000"/>
              <w:right w:val="single" w:sz="4" w:space="0" w:color="000000"/>
            </w:tcBorders>
            <w:vAlign w:val="bottom"/>
          </w:tcPr>
          <w:p w14:paraId="59BB462E" w14:textId="77777777" w:rsidR="00200EFF" w:rsidRDefault="00000000">
            <w:pPr>
              <w:spacing w:line="360" w:lineRule="auto"/>
              <w:rPr>
                <w:sz w:val="18"/>
                <w:szCs w:val="18"/>
              </w:rPr>
            </w:pPr>
            <w:r>
              <w:rPr>
                <w:sz w:val="18"/>
                <w:szCs w:val="18"/>
              </w:rPr>
              <w:t>29.6</w:t>
            </w:r>
          </w:p>
        </w:tc>
      </w:tr>
    </w:tbl>
    <w:p w14:paraId="59BB4630" w14:textId="77777777" w:rsidR="00200EFF" w:rsidRDefault="00200EFF">
      <w:pPr>
        <w:rPr>
          <w:b/>
          <w:i/>
          <w:color w:val="1F3864"/>
          <w:sz w:val="21"/>
          <w:szCs w:val="21"/>
        </w:rPr>
      </w:pPr>
    </w:p>
    <w:p w14:paraId="59BB4631" w14:textId="77777777" w:rsidR="00200EFF" w:rsidRDefault="00000000">
      <w:pPr>
        <w:rPr>
          <w:b/>
          <w:i/>
          <w:color w:val="1F3864"/>
          <w:sz w:val="21"/>
          <w:szCs w:val="21"/>
        </w:rPr>
      </w:pPr>
      <w:r>
        <w:rPr>
          <w:noProof/>
        </w:rPr>
        <w:drawing>
          <wp:anchor distT="0" distB="0" distL="114300" distR="114300" simplePos="0" relativeHeight="251660288" behindDoc="0" locked="0" layoutInCell="1" hidden="0" allowOverlap="1" wp14:anchorId="59BB4696" wp14:editId="59BB4697">
            <wp:simplePos x="0" y="0"/>
            <wp:positionH relativeFrom="column">
              <wp:posOffset>-300037</wp:posOffset>
            </wp:positionH>
            <wp:positionV relativeFrom="paragraph">
              <wp:posOffset>65819</wp:posOffset>
            </wp:positionV>
            <wp:extent cx="3854450" cy="2723515"/>
            <wp:effectExtent l="0" t="0" r="0" b="0"/>
            <wp:wrapSquare wrapText="bothSides" distT="0" distB="0" distL="114300" distR="114300"/>
            <wp:docPr id="41" name="image2.jp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Map&#10;&#10;Description automatically generated"/>
                    <pic:cNvPicPr preferRelativeResize="0"/>
                  </pic:nvPicPr>
                  <pic:blipFill>
                    <a:blip r:embed="rId16"/>
                    <a:srcRect/>
                    <a:stretch>
                      <a:fillRect/>
                    </a:stretch>
                  </pic:blipFill>
                  <pic:spPr>
                    <a:xfrm>
                      <a:off x="0" y="0"/>
                      <a:ext cx="3854450" cy="2723515"/>
                    </a:xfrm>
                    <a:prstGeom prst="rect">
                      <a:avLst/>
                    </a:prstGeom>
                    <a:ln/>
                  </pic:spPr>
                </pic:pic>
              </a:graphicData>
            </a:graphic>
          </wp:anchor>
        </w:drawing>
      </w:r>
    </w:p>
    <w:p w14:paraId="59BB4632" w14:textId="77777777" w:rsidR="00200EFF" w:rsidRDefault="00000000">
      <w:pPr>
        <w:rPr>
          <w:b/>
          <w:i/>
          <w:color w:val="1F3864"/>
          <w:sz w:val="21"/>
          <w:szCs w:val="21"/>
        </w:rPr>
      </w:pPr>
      <w:r>
        <w:rPr>
          <w:b/>
          <w:i/>
          <w:color w:val="1F3864"/>
          <w:sz w:val="21"/>
          <w:szCs w:val="21"/>
        </w:rPr>
        <w:t xml:space="preserve">Population exposure </w:t>
      </w:r>
    </w:p>
    <w:p w14:paraId="59BB4633" w14:textId="77777777" w:rsidR="00200EFF" w:rsidRDefault="00000000">
      <w:pPr>
        <w:jc w:val="both"/>
        <w:rPr>
          <w:sz w:val="21"/>
          <w:szCs w:val="21"/>
        </w:rPr>
      </w:pPr>
      <w:r>
        <w:rPr>
          <w:color w:val="000000"/>
          <w:sz w:val="21"/>
          <w:szCs w:val="21"/>
        </w:rPr>
        <w:t>Exposure is measured in person-days</w:t>
      </w:r>
      <w:r>
        <w:rPr>
          <w:b/>
          <w:color w:val="000000"/>
          <w:sz w:val="21"/>
          <w:szCs w:val="21"/>
        </w:rPr>
        <w:t xml:space="preserve"> </w:t>
      </w:r>
      <w:r>
        <w:rPr>
          <w:color w:val="000000"/>
          <w:sz w:val="21"/>
          <w:szCs w:val="21"/>
        </w:rPr>
        <w:t xml:space="preserve">per year, which is defined as: “the number of days per year that exceed a heat exposure threshold * the total urban population exposed”. Our results show that population exposure to heat stress has increased significantly in various urban areas across Indonesia (Figure 3). The urban areas with highest exposure include Medan, Pekan </w:t>
      </w:r>
      <w:proofErr w:type="spellStart"/>
      <w:r>
        <w:rPr>
          <w:color w:val="000000"/>
          <w:sz w:val="21"/>
          <w:szCs w:val="21"/>
        </w:rPr>
        <w:t>Baru</w:t>
      </w:r>
      <w:proofErr w:type="spellEnd"/>
      <w:r>
        <w:rPr>
          <w:color w:val="000000"/>
          <w:sz w:val="21"/>
          <w:szCs w:val="21"/>
        </w:rPr>
        <w:t xml:space="preserve">, and Palembang </w:t>
      </w:r>
      <w:r>
        <w:rPr>
          <w:sz w:val="21"/>
          <w:szCs w:val="21"/>
        </w:rPr>
        <w:t xml:space="preserve">(see Appendix, Figure 7 for city-level plots). Overall, exposure is increasing across Indonesia at a rate of </w:t>
      </w:r>
      <w:r>
        <w:rPr>
          <w:b/>
          <w:sz w:val="21"/>
          <w:szCs w:val="21"/>
        </w:rPr>
        <w:t>17,500,000 person-days per year</w:t>
      </w:r>
      <w:r>
        <w:rPr>
          <w:sz w:val="21"/>
          <w:szCs w:val="21"/>
        </w:rPr>
        <w:t xml:space="preserve">, which is driven by nearly equal percentage contributions from warming (52%) and urban population growth (48%) (Figure 5).  </w:t>
      </w:r>
    </w:p>
    <w:p w14:paraId="59BB4634" w14:textId="77777777" w:rsidR="00200EFF" w:rsidRDefault="00200EFF">
      <w:pPr>
        <w:rPr>
          <w:b/>
          <w:i/>
          <w:color w:val="1F3864"/>
          <w:sz w:val="21"/>
          <w:szCs w:val="21"/>
        </w:rPr>
      </w:pPr>
    </w:p>
    <w:p w14:paraId="59BB4635" w14:textId="77777777" w:rsidR="00200EFF" w:rsidRDefault="00000000">
      <w:pPr>
        <w:rPr>
          <w:i/>
          <w:sz w:val="16"/>
          <w:szCs w:val="16"/>
        </w:rPr>
      </w:pPr>
      <w:r>
        <w:rPr>
          <w:b/>
          <w:i/>
          <w:sz w:val="16"/>
          <w:szCs w:val="16"/>
        </w:rPr>
        <w:t xml:space="preserve">Figure 4. </w:t>
      </w:r>
      <w:r>
        <w:rPr>
          <w:i/>
          <w:sz w:val="16"/>
          <w:szCs w:val="16"/>
        </w:rPr>
        <w:t xml:space="preserve">Annual increase in exposure (person-days) for 1983 - 2016. </w:t>
      </w:r>
    </w:p>
    <w:p w14:paraId="59BB4636" w14:textId="77777777" w:rsidR="00200EFF" w:rsidRDefault="00200EFF">
      <w:pPr>
        <w:jc w:val="both"/>
        <w:rPr>
          <w:sz w:val="21"/>
          <w:szCs w:val="21"/>
        </w:rPr>
      </w:pPr>
    </w:p>
    <w:p w14:paraId="59BB4637" w14:textId="77777777" w:rsidR="00200EFF" w:rsidRDefault="00000000">
      <w:pPr>
        <w:jc w:val="both"/>
        <w:rPr>
          <w:sz w:val="21"/>
          <w:szCs w:val="21"/>
        </w:rPr>
      </w:pPr>
      <w:r>
        <w:rPr>
          <w:sz w:val="21"/>
          <w:szCs w:val="21"/>
        </w:rPr>
        <w:t xml:space="preserve">This increase in exposure has been a result of increases in warming as well as increases in population. The driving factor contributing to exposure is visualized in Figure 4 below. For example, urban areas where </w:t>
      </w:r>
      <w:r>
        <w:rPr>
          <w:i/>
          <w:sz w:val="21"/>
          <w:szCs w:val="21"/>
        </w:rPr>
        <w:t>population growth</w:t>
      </w:r>
      <w:r>
        <w:rPr>
          <w:sz w:val="21"/>
          <w:szCs w:val="21"/>
        </w:rPr>
        <w:t xml:space="preserve"> has contributed most to increases in exposure include </w:t>
      </w:r>
      <w:proofErr w:type="spellStart"/>
      <w:r>
        <w:rPr>
          <w:sz w:val="21"/>
          <w:szCs w:val="21"/>
        </w:rPr>
        <w:t>Bangkalan</w:t>
      </w:r>
      <w:proofErr w:type="spellEnd"/>
      <w:r>
        <w:rPr>
          <w:sz w:val="21"/>
          <w:szCs w:val="21"/>
        </w:rPr>
        <w:t xml:space="preserve">, Palembang, </w:t>
      </w:r>
      <w:proofErr w:type="spellStart"/>
      <w:r>
        <w:rPr>
          <w:sz w:val="21"/>
          <w:szCs w:val="21"/>
        </w:rPr>
        <w:t>Bojong</w:t>
      </w:r>
      <w:proofErr w:type="spellEnd"/>
      <w:r>
        <w:rPr>
          <w:sz w:val="21"/>
          <w:szCs w:val="21"/>
        </w:rPr>
        <w:t xml:space="preserve"> </w:t>
      </w:r>
      <w:proofErr w:type="spellStart"/>
      <w:r>
        <w:rPr>
          <w:sz w:val="21"/>
          <w:szCs w:val="21"/>
        </w:rPr>
        <w:t>Gede</w:t>
      </w:r>
      <w:proofErr w:type="spellEnd"/>
      <w:r>
        <w:rPr>
          <w:sz w:val="21"/>
          <w:szCs w:val="21"/>
        </w:rPr>
        <w:t xml:space="preserve">, </w:t>
      </w:r>
      <w:proofErr w:type="spellStart"/>
      <w:r>
        <w:rPr>
          <w:sz w:val="21"/>
          <w:szCs w:val="21"/>
        </w:rPr>
        <w:t>Nganjuk</w:t>
      </w:r>
      <w:proofErr w:type="spellEnd"/>
      <w:r>
        <w:rPr>
          <w:sz w:val="21"/>
          <w:szCs w:val="21"/>
        </w:rPr>
        <w:t xml:space="preserve">, </w:t>
      </w:r>
      <w:proofErr w:type="spellStart"/>
      <w:r>
        <w:rPr>
          <w:sz w:val="21"/>
          <w:szCs w:val="21"/>
        </w:rPr>
        <w:t>Tuban</w:t>
      </w:r>
      <w:proofErr w:type="spellEnd"/>
      <w:r>
        <w:rPr>
          <w:sz w:val="21"/>
          <w:szCs w:val="21"/>
        </w:rPr>
        <w:t xml:space="preserve">, </w:t>
      </w:r>
      <w:proofErr w:type="spellStart"/>
      <w:r>
        <w:rPr>
          <w:sz w:val="21"/>
          <w:szCs w:val="21"/>
        </w:rPr>
        <w:t>Singkang</w:t>
      </w:r>
      <w:proofErr w:type="spellEnd"/>
      <w:r>
        <w:rPr>
          <w:sz w:val="21"/>
          <w:szCs w:val="21"/>
        </w:rPr>
        <w:t xml:space="preserve"> and </w:t>
      </w:r>
      <w:proofErr w:type="spellStart"/>
      <w:r>
        <w:rPr>
          <w:sz w:val="21"/>
          <w:szCs w:val="21"/>
        </w:rPr>
        <w:t>Sibolga</w:t>
      </w:r>
      <w:proofErr w:type="spellEnd"/>
      <w:r>
        <w:rPr>
          <w:sz w:val="21"/>
          <w:szCs w:val="21"/>
        </w:rPr>
        <w:t xml:space="preserve">, amongst others. Urban areas where </w:t>
      </w:r>
      <w:r>
        <w:rPr>
          <w:i/>
          <w:sz w:val="21"/>
          <w:szCs w:val="21"/>
        </w:rPr>
        <w:t>warming</w:t>
      </w:r>
      <w:r>
        <w:rPr>
          <w:sz w:val="21"/>
          <w:szCs w:val="21"/>
        </w:rPr>
        <w:t xml:space="preserve"> has contributed most to increases in exposure include Merauke, </w:t>
      </w:r>
      <w:proofErr w:type="spellStart"/>
      <w:r>
        <w:rPr>
          <w:sz w:val="21"/>
          <w:szCs w:val="21"/>
        </w:rPr>
        <w:t>Tayu</w:t>
      </w:r>
      <w:proofErr w:type="spellEnd"/>
      <w:r>
        <w:rPr>
          <w:sz w:val="21"/>
          <w:szCs w:val="21"/>
        </w:rPr>
        <w:t xml:space="preserve">, </w:t>
      </w:r>
      <w:proofErr w:type="spellStart"/>
      <w:r>
        <w:rPr>
          <w:sz w:val="21"/>
          <w:szCs w:val="21"/>
        </w:rPr>
        <w:t>Umbulan</w:t>
      </w:r>
      <w:proofErr w:type="spellEnd"/>
      <w:r>
        <w:rPr>
          <w:sz w:val="21"/>
          <w:szCs w:val="21"/>
        </w:rPr>
        <w:t xml:space="preserve"> </w:t>
      </w:r>
      <w:proofErr w:type="spellStart"/>
      <w:r>
        <w:rPr>
          <w:sz w:val="21"/>
          <w:szCs w:val="21"/>
        </w:rPr>
        <w:t>Bundan</w:t>
      </w:r>
      <w:proofErr w:type="spellEnd"/>
      <w:r>
        <w:rPr>
          <w:sz w:val="21"/>
          <w:szCs w:val="21"/>
        </w:rPr>
        <w:t xml:space="preserve"> </w:t>
      </w:r>
      <w:proofErr w:type="spellStart"/>
      <w:r>
        <w:rPr>
          <w:sz w:val="21"/>
          <w:szCs w:val="21"/>
        </w:rPr>
        <w:t>Udik</w:t>
      </w:r>
      <w:proofErr w:type="spellEnd"/>
      <w:r>
        <w:rPr>
          <w:sz w:val="21"/>
          <w:szCs w:val="21"/>
        </w:rPr>
        <w:t xml:space="preserve">, </w:t>
      </w:r>
      <w:proofErr w:type="spellStart"/>
      <w:r>
        <w:rPr>
          <w:sz w:val="21"/>
          <w:szCs w:val="21"/>
        </w:rPr>
        <w:t>Telukkepik</w:t>
      </w:r>
      <w:proofErr w:type="spellEnd"/>
      <w:r>
        <w:rPr>
          <w:sz w:val="21"/>
          <w:szCs w:val="21"/>
        </w:rPr>
        <w:t xml:space="preserve">, </w:t>
      </w:r>
      <w:proofErr w:type="spellStart"/>
      <w:r>
        <w:rPr>
          <w:sz w:val="21"/>
          <w:szCs w:val="21"/>
        </w:rPr>
        <w:t>Batam</w:t>
      </w:r>
      <w:proofErr w:type="spellEnd"/>
      <w:r>
        <w:rPr>
          <w:sz w:val="21"/>
          <w:szCs w:val="21"/>
        </w:rPr>
        <w:t xml:space="preserve"> and </w:t>
      </w:r>
      <w:proofErr w:type="spellStart"/>
      <w:r>
        <w:rPr>
          <w:sz w:val="21"/>
          <w:szCs w:val="21"/>
        </w:rPr>
        <w:t>Asike</w:t>
      </w:r>
      <w:proofErr w:type="spellEnd"/>
      <w:r>
        <w:rPr>
          <w:sz w:val="21"/>
          <w:szCs w:val="21"/>
        </w:rPr>
        <w:t xml:space="preserve">. However, in Southern Indonesia, total urban warming drove exposure, </w:t>
      </w:r>
      <w:r>
        <w:rPr>
          <w:i/>
          <w:sz w:val="21"/>
          <w:szCs w:val="21"/>
        </w:rPr>
        <w:t>despite</w:t>
      </w:r>
      <w:r>
        <w:rPr>
          <w:sz w:val="21"/>
          <w:szCs w:val="21"/>
        </w:rPr>
        <w:t xml:space="preserve"> containing rapidly urbanizing cities. </w:t>
      </w:r>
    </w:p>
    <w:p w14:paraId="59BB4638" w14:textId="77777777" w:rsidR="00200EFF" w:rsidRDefault="00200EFF">
      <w:pPr>
        <w:rPr>
          <w:sz w:val="22"/>
          <w:szCs w:val="22"/>
        </w:rPr>
      </w:pPr>
    </w:p>
    <w:p w14:paraId="59BB4639" w14:textId="77777777" w:rsidR="00200EFF" w:rsidRDefault="00200EFF">
      <w:pPr>
        <w:jc w:val="center"/>
        <w:rPr>
          <w:sz w:val="22"/>
          <w:szCs w:val="22"/>
        </w:rPr>
      </w:pPr>
    </w:p>
    <w:p w14:paraId="59BB463A" w14:textId="77777777" w:rsidR="00200EFF" w:rsidRDefault="00000000">
      <w:pPr>
        <w:rPr>
          <w:b/>
        </w:rPr>
      </w:pPr>
      <w:r>
        <w:rPr>
          <w:noProof/>
        </w:rPr>
        <w:drawing>
          <wp:anchor distT="0" distB="0" distL="114300" distR="114300" simplePos="0" relativeHeight="251661312" behindDoc="0" locked="0" layoutInCell="1" hidden="0" allowOverlap="1" wp14:anchorId="59BB4698" wp14:editId="59BB4699">
            <wp:simplePos x="0" y="0"/>
            <wp:positionH relativeFrom="column">
              <wp:posOffset>638175</wp:posOffset>
            </wp:positionH>
            <wp:positionV relativeFrom="paragraph">
              <wp:posOffset>0</wp:posOffset>
            </wp:positionV>
            <wp:extent cx="4787265" cy="3380740"/>
            <wp:effectExtent l="0" t="0" r="0" b="0"/>
            <wp:wrapSquare wrapText="bothSides" distT="0" distB="0" distL="114300" distR="114300"/>
            <wp:docPr id="43" name="image5.jp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Map&#10;&#10;Description automatically generated"/>
                    <pic:cNvPicPr preferRelativeResize="0"/>
                  </pic:nvPicPr>
                  <pic:blipFill>
                    <a:blip r:embed="rId17"/>
                    <a:srcRect/>
                    <a:stretch>
                      <a:fillRect/>
                    </a:stretch>
                  </pic:blipFill>
                  <pic:spPr>
                    <a:xfrm>
                      <a:off x="0" y="0"/>
                      <a:ext cx="4787265" cy="3380740"/>
                    </a:xfrm>
                    <a:prstGeom prst="rect">
                      <a:avLst/>
                    </a:prstGeom>
                    <a:ln/>
                  </pic:spPr>
                </pic:pic>
              </a:graphicData>
            </a:graphic>
          </wp:anchor>
        </w:drawing>
      </w:r>
    </w:p>
    <w:p w14:paraId="59BB463B" w14:textId="77777777" w:rsidR="00200EFF" w:rsidRDefault="00200EFF">
      <w:pPr>
        <w:rPr>
          <w:b/>
        </w:rPr>
      </w:pPr>
    </w:p>
    <w:p w14:paraId="59BB463C" w14:textId="77777777" w:rsidR="00200EFF" w:rsidRDefault="00200EFF">
      <w:pPr>
        <w:rPr>
          <w:b/>
        </w:rPr>
      </w:pPr>
    </w:p>
    <w:p w14:paraId="59BB463D" w14:textId="77777777" w:rsidR="00200EFF" w:rsidRDefault="00200EFF">
      <w:pPr>
        <w:rPr>
          <w:b/>
        </w:rPr>
      </w:pPr>
    </w:p>
    <w:p w14:paraId="59BB463E" w14:textId="77777777" w:rsidR="00200EFF" w:rsidRDefault="00200EFF">
      <w:pPr>
        <w:rPr>
          <w:b/>
        </w:rPr>
      </w:pPr>
    </w:p>
    <w:p w14:paraId="59BB463F" w14:textId="77777777" w:rsidR="00200EFF" w:rsidRDefault="00200EFF">
      <w:pPr>
        <w:rPr>
          <w:b/>
        </w:rPr>
      </w:pPr>
    </w:p>
    <w:p w14:paraId="59BB4640" w14:textId="77777777" w:rsidR="00200EFF" w:rsidRDefault="00200EFF">
      <w:pPr>
        <w:rPr>
          <w:sz w:val="22"/>
          <w:szCs w:val="22"/>
        </w:rPr>
      </w:pPr>
    </w:p>
    <w:p w14:paraId="59BB4641" w14:textId="77777777" w:rsidR="00200EFF" w:rsidRDefault="00200EFF">
      <w:pPr>
        <w:pBdr>
          <w:top w:val="nil"/>
          <w:left w:val="nil"/>
          <w:bottom w:val="nil"/>
          <w:right w:val="nil"/>
          <w:between w:val="nil"/>
        </w:pBdr>
        <w:spacing w:after="200"/>
        <w:jc w:val="center"/>
        <w:rPr>
          <w:b/>
          <w:i/>
          <w:sz w:val="16"/>
          <w:szCs w:val="16"/>
        </w:rPr>
      </w:pPr>
    </w:p>
    <w:p w14:paraId="59BB4642" w14:textId="77777777" w:rsidR="00200EFF" w:rsidRDefault="00200EFF">
      <w:pPr>
        <w:pBdr>
          <w:top w:val="nil"/>
          <w:left w:val="nil"/>
          <w:bottom w:val="nil"/>
          <w:right w:val="nil"/>
          <w:between w:val="nil"/>
        </w:pBdr>
        <w:spacing w:after="200"/>
        <w:jc w:val="center"/>
        <w:rPr>
          <w:b/>
          <w:i/>
          <w:sz w:val="16"/>
          <w:szCs w:val="16"/>
        </w:rPr>
      </w:pPr>
    </w:p>
    <w:p w14:paraId="59BB4643" w14:textId="77777777" w:rsidR="00200EFF" w:rsidRDefault="00200EFF">
      <w:pPr>
        <w:pBdr>
          <w:top w:val="nil"/>
          <w:left w:val="nil"/>
          <w:bottom w:val="nil"/>
          <w:right w:val="nil"/>
          <w:between w:val="nil"/>
        </w:pBdr>
        <w:spacing w:after="200"/>
        <w:jc w:val="center"/>
        <w:rPr>
          <w:b/>
          <w:i/>
          <w:sz w:val="16"/>
          <w:szCs w:val="16"/>
        </w:rPr>
      </w:pPr>
    </w:p>
    <w:p w14:paraId="59BB4644" w14:textId="77777777" w:rsidR="00200EFF" w:rsidRDefault="00200EFF">
      <w:pPr>
        <w:pBdr>
          <w:top w:val="nil"/>
          <w:left w:val="nil"/>
          <w:bottom w:val="nil"/>
          <w:right w:val="nil"/>
          <w:between w:val="nil"/>
        </w:pBdr>
        <w:spacing w:after="200"/>
        <w:jc w:val="center"/>
        <w:rPr>
          <w:b/>
          <w:i/>
          <w:sz w:val="16"/>
          <w:szCs w:val="16"/>
        </w:rPr>
      </w:pPr>
    </w:p>
    <w:p w14:paraId="59BB4645" w14:textId="77777777" w:rsidR="00200EFF" w:rsidRDefault="00200EFF">
      <w:pPr>
        <w:pBdr>
          <w:top w:val="nil"/>
          <w:left w:val="nil"/>
          <w:bottom w:val="nil"/>
          <w:right w:val="nil"/>
          <w:between w:val="nil"/>
        </w:pBdr>
        <w:spacing w:after="200"/>
        <w:jc w:val="center"/>
        <w:rPr>
          <w:b/>
          <w:i/>
          <w:sz w:val="16"/>
          <w:szCs w:val="16"/>
        </w:rPr>
      </w:pPr>
    </w:p>
    <w:p w14:paraId="59BB4646" w14:textId="77777777" w:rsidR="00200EFF" w:rsidRDefault="00200EFF">
      <w:pPr>
        <w:pBdr>
          <w:top w:val="nil"/>
          <w:left w:val="nil"/>
          <w:bottom w:val="nil"/>
          <w:right w:val="nil"/>
          <w:between w:val="nil"/>
        </w:pBdr>
        <w:spacing w:after="200"/>
        <w:jc w:val="center"/>
        <w:rPr>
          <w:b/>
          <w:i/>
          <w:sz w:val="16"/>
          <w:szCs w:val="16"/>
        </w:rPr>
      </w:pPr>
    </w:p>
    <w:p w14:paraId="59BB4647" w14:textId="77777777" w:rsidR="00200EFF" w:rsidRDefault="00200EFF">
      <w:pPr>
        <w:pBdr>
          <w:top w:val="nil"/>
          <w:left w:val="nil"/>
          <w:bottom w:val="nil"/>
          <w:right w:val="nil"/>
          <w:between w:val="nil"/>
        </w:pBdr>
        <w:spacing w:after="200"/>
        <w:jc w:val="center"/>
        <w:rPr>
          <w:b/>
          <w:i/>
          <w:sz w:val="16"/>
          <w:szCs w:val="16"/>
        </w:rPr>
      </w:pPr>
    </w:p>
    <w:p w14:paraId="59BB4648" w14:textId="77777777" w:rsidR="00200EFF" w:rsidRDefault="00200EFF">
      <w:pPr>
        <w:pBdr>
          <w:top w:val="nil"/>
          <w:left w:val="nil"/>
          <w:bottom w:val="nil"/>
          <w:right w:val="nil"/>
          <w:between w:val="nil"/>
        </w:pBdr>
        <w:spacing w:after="200"/>
        <w:rPr>
          <w:b/>
          <w:i/>
          <w:sz w:val="16"/>
          <w:szCs w:val="16"/>
        </w:rPr>
      </w:pPr>
    </w:p>
    <w:p w14:paraId="59BB4649" w14:textId="77777777" w:rsidR="00200EFF" w:rsidRDefault="00200EFF">
      <w:pPr>
        <w:pBdr>
          <w:top w:val="nil"/>
          <w:left w:val="nil"/>
          <w:bottom w:val="nil"/>
          <w:right w:val="nil"/>
          <w:between w:val="nil"/>
        </w:pBdr>
        <w:spacing w:after="200"/>
        <w:jc w:val="center"/>
        <w:rPr>
          <w:b/>
          <w:i/>
          <w:sz w:val="16"/>
          <w:szCs w:val="16"/>
        </w:rPr>
      </w:pPr>
    </w:p>
    <w:p w14:paraId="59BB464A" w14:textId="77777777" w:rsidR="00200EFF" w:rsidRDefault="00000000">
      <w:pPr>
        <w:pBdr>
          <w:top w:val="nil"/>
          <w:left w:val="nil"/>
          <w:bottom w:val="nil"/>
          <w:right w:val="nil"/>
          <w:between w:val="nil"/>
        </w:pBdr>
        <w:spacing w:after="200"/>
        <w:jc w:val="center"/>
        <w:rPr>
          <w:i/>
          <w:sz w:val="16"/>
          <w:szCs w:val="16"/>
        </w:rPr>
      </w:pPr>
      <w:r>
        <w:rPr>
          <w:b/>
          <w:i/>
          <w:sz w:val="16"/>
          <w:szCs w:val="16"/>
        </w:rPr>
        <w:t xml:space="preserve">Figure 5 </w:t>
      </w:r>
      <w:r>
        <w:rPr>
          <w:i/>
          <w:sz w:val="16"/>
          <w:szCs w:val="16"/>
        </w:rPr>
        <w:t>Contribution to increase in exposure (warming vs. population)</w:t>
      </w:r>
    </w:p>
    <w:p w14:paraId="59BB464B" w14:textId="77777777" w:rsidR="00200EFF" w:rsidRDefault="00200EFF">
      <w:pPr>
        <w:pBdr>
          <w:top w:val="nil"/>
          <w:left w:val="nil"/>
          <w:bottom w:val="nil"/>
          <w:right w:val="nil"/>
          <w:between w:val="nil"/>
        </w:pBdr>
        <w:spacing w:after="200"/>
        <w:jc w:val="center"/>
        <w:rPr>
          <w:b/>
          <w:i/>
          <w:sz w:val="16"/>
          <w:szCs w:val="16"/>
        </w:rPr>
      </w:pPr>
    </w:p>
    <w:p w14:paraId="59BB464C" w14:textId="77777777" w:rsidR="00200EFF" w:rsidRDefault="00000000">
      <w:pPr>
        <w:spacing w:after="200"/>
        <w:jc w:val="center"/>
        <w:rPr>
          <w:b/>
          <w:i/>
          <w:sz w:val="16"/>
          <w:szCs w:val="16"/>
        </w:rPr>
      </w:pPr>
      <w:r>
        <w:rPr>
          <w:b/>
          <w:i/>
          <w:noProof/>
          <w:sz w:val="16"/>
          <w:szCs w:val="16"/>
        </w:rPr>
        <w:drawing>
          <wp:inline distT="114300" distB="114300" distL="114300" distR="114300" wp14:anchorId="59BB469A" wp14:editId="59BB469B">
            <wp:extent cx="6188400" cy="1536700"/>
            <wp:effectExtent l="0" t="0" r="0" b="0"/>
            <wp:docPr id="4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8"/>
                    <a:srcRect/>
                    <a:stretch>
                      <a:fillRect/>
                    </a:stretch>
                  </pic:blipFill>
                  <pic:spPr>
                    <a:xfrm>
                      <a:off x="0" y="0"/>
                      <a:ext cx="6188400" cy="1536700"/>
                    </a:xfrm>
                    <a:prstGeom prst="rect">
                      <a:avLst/>
                    </a:prstGeom>
                    <a:ln/>
                  </pic:spPr>
                </pic:pic>
              </a:graphicData>
            </a:graphic>
          </wp:inline>
        </w:drawing>
      </w:r>
    </w:p>
    <w:p w14:paraId="59BB464D" w14:textId="77777777" w:rsidR="00200EFF" w:rsidRDefault="00000000">
      <w:pPr>
        <w:pBdr>
          <w:top w:val="nil"/>
          <w:left w:val="nil"/>
          <w:bottom w:val="nil"/>
          <w:right w:val="nil"/>
          <w:between w:val="nil"/>
        </w:pBdr>
        <w:spacing w:after="200"/>
        <w:jc w:val="center"/>
        <w:rPr>
          <w:b/>
          <w:i/>
          <w:color w:val="000000"/>
          <w:sz w:val="16"/>
          <w:szCs w:val="16"/>
        </w:rPr>
      </w:pPr>
      <w:r>
        <w:rPr>
          <w:b/>
          <w:i/>
          <w:color w:val="000000"/>
          <w:sz w:val="16"/>
          <w:szCs w:val="16"/>
        </w:rPr>
        <w:t xml:space="preserve">Figure 5 </w:t>
      </w:r>
      <w:r>
        <w:rPr>
          <w:i/>
          <w:color w:val="000000"/>
          <w:sz w:val="16"/>
          <w:szCs w:val="16"/>
        </w:rPr>
        <w:t>National-level exposure to days of heat stress (WBGT &gt; 30 °C) in person-days x 10</w:t>
      </w:r>
      <w:r>
        <w:rPr>
          <w:i/>
          <w:color w:val="000000"/>
          <w:sz w:val="16"/>
          <w:szCs w:val="16"/>
          <w:vertAlign w:val="superscript"/>
        </w:rPr>
        <w:t>9</w:t>
      </w:r>
      <w:r>
        <w:rPr>
          <w:i/>
          <w:color w:val="000000"/>
          <w:sz w:val="16"/>
          <w:szCs w:val="16"/>
        </w:rPr>
        <w:t xml:space="preserve"> (billions) in Indonesia for 1983-2016, with contribution from urban population growth and total urban warming.</w:t>
      </w:r>
    </w:p>
    <w:p w14:paraId="59BB464E" w14:textId="77777777" w:rsidR="00200EFF" w:rsidRDefault="00200EFF">
      <w:pPr>
        <w:rPr>
          <w:b/>
        </w:rPr>
      </w:pPr>
    </w:p>
    <w:p w14:paraId="59BB464F" w14:textId="77777777" w:rsidR="00200EFF" w:rsidRDefault="00000000">
      <w:pPr>
        <w:numPr>
          <w:ilvl w:val="0"/>
          <w:numId w:val="4"/>
        </w:numPr>
        <w:pBdr>
          <w:top w:val="nil"/>
          <w:left w:val="nil"/>
          <w:bottom w:val="nil"/>
          <w:right w:val="nil"/>
          <w:between w:val="nil"/>
        </w:pBdr>
        <w:rPr>
          <w:b/>
          <w:color w:val="002060"/>
          <w:sz w:val="28"/>
          <w:szCs w:val="28"/>
        </w:rPr>
      </w:pPr>
      <w:r>
        <w:rPr>
          <w:b/>
          <w:color w:val="002060"/>
          <w:sz w:val="28"/>
          <w:szCs w:val="28"/>
        </w:rPr>
        <w:t>Conclusion</w:t>
      </w:r>
    </w:p>
    <w:p w14:paraId="59BB4650" w14:textId="77777777" w:rsidR="00200EFF" w:rsidRDefault="00200EFF">
      <w:pPr>
        <w:jc w:val="both"/>
        <w:rPr>
          <w:sz w:val="21"/>
          <w:szCs w:val="21"/>
          <w:highlight w:val="yellow"/>
        </w:rPr>
      </w:pPr>
    </w:p>
    <w:p w14:paraId="59BB4651" w14:textId="77777777" w:rsidR="00200EFF" w:rsidRDefault="00000000">
      <w:pPr>
        <w:jc w:val="both"/>
        <w:rPr>
          <w:sz w:val="21"/>
          <w:szCs w:val="21"/>
        </w:rPr>
      </w:pPr>
      <w:r>
        <w:rPr>
          <w:sz w:val="21"/>
          <w:szCs w:val="21"/>
        </w:rPr>
        <w:t xml:space="preserve">This study has provided strong evidence for the increase in dangerous levels of </w:t>
      </w:r>
      <w:proofErr w:type="gramStart"/>
      <w:r>
        <w:rPr>
          <w:sz w:val="21"/>
          <w:szCs w:val="21"/>
        </w:rPr>
        <w:t>humid-heat</w:t>
      </w:r>
      <w:proofErr w:type="gramEnd"/>
      <w:r>
        <w:rPr>
          <w:sz w:val="21"/>
          <w:szCs w:val="21"/>
        </w:rPr>
        <w:t xml:space="preserve"> across Indonesia. On average, Indonesia experiences 14 humid-hot days each year, with a higher number of hot days in recent years. Largest increases in hot-humid days were found in Riau province, of increases up to 3 days per year. The years of 1998, 2010, and 2016 contained a disproportionate number of humid-hot days, with 50, 35, and 57 days respectively.  Exposure is increasing by 17.5 million people-days per year across Indonesia, </w:t>
      </w:r>
      <w:proofErr w:type="gramStart"/>
      <w:r>
        <w:rPr>
          <w:sz w:val="21"/>
          <w:szCs w:val="21"/>
        </w:rPr>
        <w:t>as a result of</w:t>
      </w:r>
      <w:proofErr w:type="gramEnd"/>
      <w:r>
        <w:rPr>
          <w:sz w:val="21"/>
          <w:szCs w:val="21"/>
        </w:rPr>
        <w:t xml:space="preserve"> increases in both urban warming and population growth.</w:t>
      </w:r>
    </w:p>
    <w:p w14:paraId="59BB4652" w14:textId="77777777" w:rsidR="00200EFF" w:rsidRDefault="00200EFF">
      <w:pPr>
        <w:jc w:val="both"/>
        <w:rPr>
          <w:sz w:val="21"/>
          <w:szCs w:val="21"/>
        </w:rPr>
      </w:pPr>
    </w:p>
    <w:p w14:paraId="59BB4653" w14:textId="77777777" w:rsidR="00200EFF" w:rsidRDefault="00000000">
      <w:pPr>
        <w:jc w:val="both"/>
        <w:rPr>
          <w:sz w:val="21"/>
          <w:szCs w:val="21"/>
        </w:rPr>
      </w:pPr>
      <w:r>
        <w:rPr>
          <w:sz w:val="21"/>
          <w:szCs w:val="21"/>
        </w:rPr>
        <w:t xml:space="preserve">It is certain that heat stress will lead to far-reaching and ongoing impacts in Indonesia. Considering the rate at which heat stress is increasing, it is highly worrisome that currently, there is extremely limited understanding of the characteristics of </w:t>
      </w:r>
      <w:proofErr w:type="gramStart"/>
      <w:r>
        <w:rPr>
          <w:sz w:val="21"/>
          <w:szCs w:val="21"/>
        </w:rPr>
        <w:t>humid-heat</w:t>
      </w:r>
      <w:proofErr w:type="gramEnd"/>
      <w:r>
        <w:rPr>
          <w:sz w:val="21"/>
          <w:szCs w:val="21"/>
        </w:rPr>
        <w:t xml:space="preserve">, as well as the risks and impacts on a local scale for Indonesia. This analysis provides a foundation for further research that is urgently needed across Indonesia, to inform and urge people to adapt and prepare for heat stress. Our findings are relevant for health practitioners, meteorological officers, urban planners, </w:t>
      </w:r>
      <w:r>
        <w:rPr>
          <w:sz w:val="21"/>
          <w:szCs w:val="21"/>
        </w:rPr>
        <w:lastRenderedPageBreak/>
        <w:t xml:space="preserve">and other policy makers. Addressing heat risks will protect the health, livelihoods, and well-being of citizens, ensure resilient and sustainable communities, and contribute to growing economic development across Indonesia. </w:t>
      </w:r>
    </w:p>
    <w:p w14:paraId="59BB4654" w14:textId="77777777" w:rsidR="00200EFF" w:rsidRDefault="00200EFF">
      <w:pPr>
        <w:rPr>
          <w:b/>
          <w:sz w:val="21"/>
          <w:szCs w:val="21"/>
        </w:rPr>
      </w:pPr>
    </w:p>
    <w:p w14:paraId="59BB4655" w14:textId="77777777" w:rsidR="00200EFF" w:rsidRDefault="00000000">
      <w:pPr>
        <w:rPr>
          <w:b/>
          <w:i/>
          <w:color w:val="1F3864"/>
          <w:sz w:val="21"/>
          <w:szCs w:val="21"/>
        </w:rPr>
      </w:pPr>
      <w:r>
        <w:rPr>
          <w:b/>
          <w:i/>
          <w:color w:val="1F3864"/>
          <w:sz w:val="21"/>
          <w:szCs w:val="21"/>
        </w:rPr>
        <w:t xml:space="preserve">Recommendation potential actions for PMI </w:t>
      </w:r>
    </w:p>
    <w:p w14:paraId="59BB4656" w14:textId="77777777" w:rsidR="00200EFF" w:rsidRDefault="00200EFF">
      <w:pPr>
        <w:rPr>
          <w:b/>
          <w:i/>
          <w:color w:val="1F3864"/>
          <w:sz w:val="21"/>
          <w:szCs w:val="21"/>
        </w:rPr>
      </w:pPr>
    </w:p>
    <w:p w14:paraId="59BB4657" w14:textId="77777777" w:rsidR="00200EFF" w:rsidRDefault="00000000">
      <w:pPr>
        <w:rPr>
          <w:b/>
          <w:i/>
          <w:color w:val="1F3864"/>
          <w:sz w:val="21"/>
          <w:szCs w:val="21"/>
        </w:rPr>
      </w:pPr>
      <w:r>
        <w:rPr>
          <w:sz w:val="21"/>
          <w:szCs w:val="21"/>
        </w:rPr>
        <w:t xml:space="preserve">A list of potential short- and long-term actions have been identified for Indonesia [11]: </w:t>
      </w:r>
    </w:p>
    <w:p w14:paraId="59BB4658" w14:textId="77777777" w:rsidR="00200EFF" w:rsidRDefault="00000000">
      <w:pPr>
        <w:pBdr>
          <w:top w:val="nil"/>
          <w:left w:val="nil"/>
          <w:bottom w:val="nil"/>
          <w:right w:val="nil"/>
          <w:between w:val="nil"/>
        </w:pBdr>
        <w:spacing w:before="120"/>
        <w:rPr>
          <w:b/>
          <w:sz w:val="21"/>
          <w:szCs w:val="21"/>
        </w:rPr>
      </w:pPr>
      <w:r>
        <w:rPr>
          <w:b/>
          <w:sz w:val="21"/>
          <w:szCs w:val="21"/>
        </w:rPr>
        <w:t xml:space="preserve">Long-term: </w:t>
      </w:r>
    </w:p>
    <w:p w14:paraId="59BB4659" w14:textId="77777777" w:rsidR="00200EFF" w:rsidRDefault="00000000">
      <w:pPr>
        <w:numPr>
          <w:ilvl w:val="0"/>
          <w:numId w:val="2"/>
        </w:numPr>
        <w:pBdr>
          <w:top w:val="nil"/>
          <w:left w:val="nil"/>
          <w:bottom w:val="nil"/>
          <w:right w:val="nil"/>
          <w:between w:val="nil"/>
        </w:pBdr>
        <w:spacing w:before="120" w:line="276" w:lineRule="auto"/>
        <w:rPr>
          <w:sz w:val="21"/>
          <w:szCs w:val="21"/>
        </w:rPr>
      </w:pPr>
      <w:r>
        <w:rPr>
          <w:sz w:val="21"/>
          <w:szCs w:val="21"/>
        </w:rPr>
        <w:t xml:space="preserve">Improving public messaging of heat risks to raise </w:t>
      </w:r>
      <w:proofErr w:type="gramStart"/>
      <w:r>
        <w:rPr>
          <w:sz w:val="21"/>
          <w:szCs w:val="21"/>
        </w:rPr>
        <w:t>awareness</w:t>
      </w:r>
      <w:proofErr w:type="gramEnd"/>
      <w:r>
        <w:rPr>
          <w:sz w:val="21"/>
          <w:szCs w:val="21"/>
        </w:rPr>
        <w:t xml:space="preserve"> </w:t>
      </w:r>
    </w:p>
    <w:p w14:paraId="59BB465A" w14:textId="77777777" w:rsidR="00200EFF" w:rsidRDefault="00000000">
      <w:pPr>
        <w:numPr>
          <w:ilvl w:val="0"/>
          <w:numId w:val="2"/>
        </w:numPr>
        <w:pBdr>
          <w:top w:val="nil"/>
          <w:left w:val="nil"/>
          <w:bottom w:val="nil"/>
          <w:right w:val="nil"/>
          <w:between w:val="nil"/>
        </w:pBdr>
        <w:spacing w:line="276" w:lineRule="auto"/>
        <w:rPr>
          <w:sz w:val="21"/>
          <w:szCs w:val="21"/>
        </w:rPr>
      </w:pPr>
      <w:r>
        <w:rPr>
          <w:sz w:val="21"/>
          <w:szCs w:val="21"/>
        </w:rPr>
        <w:t>Training caregivers in social facilities on heat risks</w:t>
      </w:r>
    </w:p>
    <w:p w14:paraId="59BB465B" w14:textId="77777777" w:rsidR="00200EFF" w:rsidRDefault="00000000">
      <w:pPr>
        <w:numPr>
          <w:ilvl w:val="0"/>
          <w:numId w:val="2"/>
        </w:numPr>
        <w:pBdr>
          <w:top w:val="nil"/>
          <w:left w:val="nil"/>
          <w:bottom w:val="nil"/>
          <w:right w:val="nil"/>
          <w:between w:val="nil"/>
        </w:pBdr>
        <w:spacing w:line="276" w:lineRule="auto"/>
        <w:rPr>
          <w:sz w:val="21"/>
          <w:szCs w:val="21"/>
        </w:rPr>
      </w:pPr>
      <w:r>
        <w:rPr>
          <w:sz w:val="21"/>
          <w:szCs w:val="21"/>
        </w:rPr>
        <w:t>Monitoring temperatures in important locations (vulnerable neighborhoods, schools, hospitals)</w:t>
      </w:r>
    </w:p>
    <w:p w14:paraId="59BB465C" w14:textId="77777777" w:rsidR="00200EFF" w:rsidRDefault="00000000">
      <w:pPr>
        <w:numPr>
          <w:ilvl w:val="0"/>
          <w:numId w:val="2"/>
        </w:numPr>
        <w:pBdr>
          <w:top w:val="nil"/>
          <w:left w:val="nil"/>
          <w:bottom w:val="nil"/>
          <w:right w:val="nil"/>
          <w:between w:val="nil"/>
        </w:pBdr>
        <w:spacing w:line="276" w:lineRule="auto"/>
        <w:rPr>
          <w:sz w:val="21"/>
          <w:szCs w:val="21"/>
        </w:rPr>
      </w:pPr>
      <w:r>
        <w:rPr>
          <w:sz w:val="21"/>
          <w:szCs w:val="21"/>
        </w:rPr>
        <w:t xml:space="preserve">Working together with local universities to co-develop </w:t>
      </w:r>
      <w:proofErr w:type="gramStart"/>
      <w:r>
        <w:rPr>
          <w:sz w:val="21"/>
          <w:szCs w:val="21"/>
        </w:rPr>
        <w:t>studies</w:t>
      </w:r>
      <w:proofErr w:type="gramEnd"/>
      <w:r>
        <w:rPr>
          <w:sz w:val="21"/>
          <w:szCs w:val="21"/>
        </w:rPr>
        <w:t xml:space="preserve"> </w:t>
      </w:r>
    </w:p>
    <w:p w14:paraId="59BB465D" w14:textId="77777777" w:rsidR="00200EFF" w:rsidRDefault="00000000">
      <w:pPr>
        <w:pBdr>
          <w:top w:val="nil"/>
          <w:left w:val="nil"/>
          <w:bottom w:val="nil"/>
          <w:right w:val="nil"/>
          <w:between w:val="nil"/>
        </w:pBdr>
        <w:spacing w:before="120" w:line="360" w:lineRule="auto"/>
        <w:rPr>
          <w:b/>
          <w:sz w:val="21"/>
          <w:szCs w:val="21"/>
        </w:rPr>
      </w:pPr>
      <w:r>
        <w:rPr>
          <w:b/>
          <w:sz w:val="21"/>
          <w:szCs w:val="21"/>
        </w:rPr>
        <w:t>Short-term:</w:t>
      </w:r>
    </w:p>
    <w:p w14:paraId="59BB465E" w14:textId="77777777" w:rsidR="00200EFF" w:rsidRDefault="00000000">
      <w:pPr>
        <w:numPr>
          <w:ilvl w:val="0"/>
          <w:numId w:val="3"/>
        </w:numPr>
        <w:pBdr>
          <w:top w:val="nil"/>
          <w:left w:val="nil"/>
          <w:bottom w:val="nil"/>
          <w:right w:val="nil"/>
          <w:between w:val="nil"/>
        </w:pBdr>
        <w:spacing w:before="120" w:line="276" w:lineRule="auto"/>
        <w:rPr>
          <w:sz w:val="21"/>
          <w:szCs w:val="21"/>
        </w:rPr>
      </w:pPr>
      <w:r>
        <w:rPr>
          <w:sz w:val="21"/>
          <w:szCs w:val="21"/>
        </w:rPr>
        <w:t xml:space="preserve">Planning visits to important </w:t>
      </w:r>
      <w:proofErr w:type="gramStart"/>
      <w:r>
        <w:rPr>
          <w:sz w:val="21"/>
          <w:szCs w:val="21"/>
        </w:rPr>
        <w:t>locations  to</w:t>
      </w:r>
      <w:proofErr w:type="gramEnd"/>
      <w:r>
        <w:rPr>
          <w:sz w:val="21"/>
          <w:szCs w:val="21"/>
        </w:rPr>
        <w:t xml:space="preserve"> raise awareness (vulnerable neighborhoods, school, hospitals)</w:t>
      </w:r>
    </w:p>
    <w:p w14:paraId="59BB465F" w14:textId="77777777" w:rsidR="00200EFF" w:rsidRDefault="00000000">
      <w:pPr>
        <w:numPr>
          <w:ilvl w:val="0"/>
          <w:numId w:val="3"/>
        </w:numPr>
        <w:pBdr>
          <w:top w:val="nil"/>
          <w:left w:val="nil"/>
          <w:bottom w:val="nil"/>
          <w:right w:val="nil"/>
          <w:between w:val="nil"/>
        </w:pBdr>
        <w:spacing w:line="276" w:lineRule="auto"/>
        <w:rPr>
          <w:sz w:val="21"/>
          <w:szCs w:val="21"/>
        </w:rPr>
      </w:pPr>
      <w:r>
        <w:rPr>
          <w:sz w:val="21"/>
          <w:szCs w:val="21"/>
        </w:rPr>
        <w:t>Providing drinking water distribution points</w:t>
      </w:r>
    </w:p>
    <w:p w14:paraId="59BB4660" w14:textId="77777777" w:rsidR="00200EFF" w:rsidRDefault="00000000">
      <w:pPr>
        <w:numPr>
          <w:ilvl w:val="0"/>
          <w:numId w:val="3"/>
        </w:numPr>
        <w:pBdr>
          <w:top w:val="nil"/>
          <w:left w:val="nil"/>
          <w:bottom w:val="nil"/>
          <w:right w:val="nil"/>
          <w:between w:val="nil"/>
        </w:pBdr>
        <w:spacing w:line="276" w:lineRule="auto"/>
        <w:rPr>
          <w:sz w:val="21"/>
          <w:szCs w:val="21"/>
        </w:rPr>
      </w:pPr>
      <w:r>
        <w:rPr>
          <w:sz w:val="21"/>
          <w:szCs w:val="21"/>
        </w:rPr>
        <w:t xml:space="preserve">Supporting community early warnings </w:t>
      </w:r>
    </w:p>
    <w:p w14:paraId="59BB4661" w14:textId="77777777" w:rsidR="00200EFF" w:rsidRDefault="00000000">
      <w:pPr>
        <w:numPr>
          <w:ilvl w:val="0"/>
          <w:numId w:val="3"/>
        </w:numPr>
        <w:pBdr>
          <w:top w:val="nil"/>
          <w:left w:val="nil"/>
          <w:bottom w:val="nil"/>
          <w:right w:val="nil"/>
          <w:between w:val="nil"/>
        </w:pBdr>
        <w:spacing w:line="276" w:lineRule="auto"/>
        <w:rPr>
          <w:sz w:val="21"/>
          <w:szCs w:val="21"/>
        </w:rPr>
      </w:pPr>
      <w:r>
        <w:rPr>
          <w:sz w:val="21"/>
          <w:szCs w:val="21"/>
        </w:rPr>
        <w:t>Opening cooling centers</w:t>
      </w:r>
    </w:p>
    <w:p w14:paraId="59BB4662" w14:textId="77777777" w:rsidR="00200EFF" w:rsidRDefault="00200EFF">
      <w:pPr>
        <w:rPr>
          <w:b/>
          <w:color w:val="002060"/>
          <w:sz w:val="28"/>
          <w:szCs w:val="28"/>
        </w:rPr>
      </w:pPr>
    </w:p>
    <w:p w14:paraId="59BB4663" w14:textId="77777777" w:rsidR="00200EFF" w:rsidRDefault="00000000">
      <w:pPr>
        <w:rPr>
          <w:b/>
          <w:color w:val="002060"/>
          <w:sz w:val="28"/>
          <w:szCs w:val="28"/>
        </w:rPr>
      </w:pPr>
      <w:r>
        <w:br w:type="page"/>
      </w:r>
    </w:p>
    <w:p w14:paraId="59BB4664" w14:textId="77777777" w:rsidR="00200EFF" w:rsidRDefault="00000000">
      <w:pPr>
        <w:rPr>
          <w:b/>
          <w:color w:val="002060"/>
          <w:sz w:val="28"/>
          <w:szCs w:val="28"/>
        </w:rPr>
      </w:pPr>
      <w:r>
        <w:rPr>
          <w:b/>
          <w:color w:val="002060"/>
          <w:sz w:val="28"/>
          <w:szCs w:val="28"/>
        </w:rPr>
        <w:lastRenderedPageBreak/>
        <w:t>References</w:t>
      </w:r>
    </w:p>
    <w:p w14:paraId="59BB4665" w14:textId="77777777" w:rsidR="00200EFF" w:rsidRDefault="00200EFF">
      <w:pPr>
        <w:rPr>
          <w:b/>
          <w:color w:val="002060"/>
          <w:sz w:val="28"/>
          <w:szCs w:val="28"/>
        </w:rPr>
      </w:pPr>
    </w:p>
    <w:p w14:paraId="59BB4666" w14:textId="77777777" w:rsidR="00200EFF" w:rsidRDefault="00000000">
      <w:pPr>
        <w:widowControl w:val="0"/>
        <w:ind w:left="640" w:hanging="640"/>
        <w:rPr>
          <w:sz w:val="18"/>
          <w:szCs w:val="18"/>
        </w:rPr>
      </w:pPr>
      <w:r>
        <w:rPr>
          <w:sz w:val="18"/>
          <w:szCs w:val="18"/>
        </w:rPr>
        <w:t>[1]</w:t>
      </w:r>
      <w:r>
        <w:rPr>
          <w:sz w:val="18"/>
          <w:szCs w:val="18"/>
        </w:rPr>
        <w:tab/>
        <w:t xml:space="preserve">C. Raymond, T. Matthews, and R. M. Horton, “The emergence of heat and humidity too severe for human tolerance,” </w:t>
      </w:r>
      <w:r>
        <w:rPr>
          <w:i/>
          <w:sz w:val="18"/>
          <w:szCs w:val="18"/>
        </w:rPr>
        <w:t>Sci. Adv.</w:t>
      </w:r>
      <w:r>
        <w:rPr>
          <w:sz w:val="18"/>
          <w:szCs w:val="18"/>
        </w:rPr>
        <w:t xml:space="preserve">, vol. 6, no. 19, 2020, </w:t>
      </w:r>
      <w:proofErr w:type="spellStart"/>
      <w:r>
        <w:rPr>
          <w:sz w:val="18"/>
          <w:szCs w:val="18"/>
        </w:rPr>
        <w:t>doi</w:t>
      </w:r>
      <w:proofErr w:type="spellEnd"/>
      <w:r>
        <w:rPr>
          <w:sz w:val="18"/>
          <w:szCs w:val="18"/>
        </w:rPr>
        <w:t>: 10.1126/</w:t>
      </w:r>
      <w:proofErr w:type="gramStart"/>
      <w:r>
        <w:rPr>
          <w:sz w:val="18"/>
          <w:szCs w:val="18"/>
        </w:rPr>
        <w:t>sciadv.aaw</w:t>
      </w:r>
      <w:proofErr w:type="gramEnd"/>
      <w:r>
        <w:rPr>
          <w:sz w:val="18"/>
          <w:szCs w:val="18"/>
        </w:rPr>
        <w:t>1838.</w:t>
      </w:r>
    </w:p>
    <w:p w14:paraId="59BB4667" w14:textId="77777777" w:rsidR="00200EFF" w:rsidRDefault="00000000">
      <w:pPr>
        <w:widowControl w:val="0"/>
        <w:ind w:left="640" w:hanging="640"/>
        <w:rPr>
          <w:sz w:val="18"/>
          <w:szCs w:val="18"/>
        </w:rPr>
      </w:pPr>
      <w:r>
        <w:rPr>
          <w:sz w:val="18"/>
          <w:szCs w:val="18"/>
        </w:rPr>
        <w:t>[2]</w:t>
      </w:r>
      <w:r>
        <w:rPr>
          <w:sz w:val="18"/>
          <w:szCs w:val="18"/>
        </w:rPr>
        <w:tab/>
        <w:t xml:space="preserve">Supari, F. </w:t>
      </w:r>
      <w:proofErr w:type="spellStart"/>
      <w:r>
        <w:rPr>
          <w:sz w:val="18"/>
          <w:szCs w:val="18"/>
        </w:rPr>
        <w:t>Tangang</w:t>
      </w:r>
      <w:proofErr w:type="spellEnd"/>
      <w:r>
        <w:rPr>
          <w:sz w:val="18"/>
          <w:szCs w:val="18"/>
        </w:rPr>
        <w:t xml:space="preserve">, L. </w:t>
      </w:r>
      <w:proofErr w:type="spellStart"/>
      <w:r>
        <w:rPr>
          <w:sz w:val="18"/>
          <w:szCs w:val="18"/>
        </w:rPr>
        <w:t>Juneng</w:t>
      </w:r>
      <w:proofErr w:type="spellEnd"/>
      <w:r>
        <w:rPr>
          <w:sz w:val="18"/>
          <w:szCs w:val="18"/>
        </w:rPr>
        <w:t xml:space="preserve">, and E. </w:t>
      </w:r>
      <w:proofErr w:type="spellStart"/>
      <w:r>
        <w:rPr>
          <w:sz w:val="18"/>
          <w:szCs w:val="18"/>
        </w:rPr>
        <w:t>Aldrian</w:t>
      </w:r>
      <w:proofErr w:type="spellEnd"/>
      <w:r>
        <w:rPr>
          <w:sz w:val="18"/>
          <w:szCs w:val="18"/>
        </w:rPr>
        <w:t xml:space="preserve">, “Observed changes in extreme temperature and precipitation over Indonesia,” </w:t>
      </w:r>
      <w:r>
        <w:rPr>
          <w:i/>
          <w:sz w:val="18"/>
          <w:szCs w:val="18"/>
        </w:rPr>
        <w:t xml:space="preserve">Int. J. </w:t>
      </w:r>
      <w:proofErr w:type="spellStart"/>
      <w:r>
        <w:rPr>
          <w:i/>
          <w:sz w:val="18"/>
          <w:szCs w:val="18"/>
        </w:rPr>
        <w:t>Climatol</w:t>
      </w:r>
      <w:proofErr w:type="spellEnd"/>
      <w:r>
        <w:rPr>
          <w:i/>
          <w:sz w:val="18"/>
          <w:szCs w:val="18"/>
        </w:rPr>
        <w:t>.</w:t>
      </w:r>
      <w:r>
        <w:rPr>
          <w:sz w:val="18"/>
          <w:szCs w:val="18"/>
        </w:rPr>
        <w:t xml:space="preserve">, vol. 37, no. 4, pp. 1979–1997, 2017, </w:t>
      </w:r>
      <w:proofErr w:type="spellStart"/>
      <w:r>
        <w:rPr>
          <w:sz w:val="18"/>
          <w:szCs w:val="18"/>
        </w:rPr>
        <w:t>doi</w:t>
      </w:r>
      <w:proofErr w:type="spellEnd"/>
      <w:r>
        <w:rPr>
          <w:sz w:val="18"/>
          <w:szCs w:val="18"/>
        </w:rPr>
        <w:t>: 10.1002/joc.4829.</w:t>
      </w:r>
    </w:p>
    <w:p w14:paraId="59BB4668" w14:textId="77777777" w:rsidR="00200EFF" w:rsidRDefault="00000000">
      <w:pPr>
        <w:widowControl w:val="0"/>
        <w:ind w:left="640" w:hanging="640"/>
        <w:rPr>
          <w:sz w:val="18"/>
          <w:szCs w:val="18"/>
        </w:rPr>
      </w:pPr>
      <w:r>
        <w:rPr>
          <w:sz w:val="18"/>
          <w:szCs w:val="18"/>
        </w:rPr>
        <w:t>[3]</w:t>
      </w:r>
      <w:r>
        <w:rPr>
          <w:sz w:val="18"/>
          <w:szCs w:val="18"/>
        </w:rPr>
        <w:tab/>
        <w:t xml:space="preserve">C. Mora </w:t>
      </w:r>
      <w:r>
        <w:rPr>
          <w:i/>
          <w:sz w:val="18"/>
          <w:szCs w:val="18"/>
        </w:rPr>
        <w:t>et al.</w:t>
      </w:r>
      <w:r>
        <w:rPr>
          <w:sz w:val="18"/>
          <w:szCs w:val="18"/>
        </w:rPr>
        <w:t xml:space="preserve">, “Global risk of deadly heat,” </w:t>
      </w:r>
      <w:r>
        <w:rPr>
          <w:i/>
          <w:sz w:val="18"/>
          <w:szCs w:val="18"/>
        </w:rPr>
        <w:t xml:space="preserve">Nat. </w:t>
      </w:r>
      <w:proofErr w:type="spellStart"/>
      <w:r>
        <w:rPr>
          <w:i/>
          <w:sz w:val="18"/>
          <w:szCs w:val="18"/>
        </w:rPr>
        <w:t>Clim</w:t>
      </w:r>
      <w:proofErr w:type="spellEnd"/>
      <w:r>
        <w:rPr>
          <w:i/>
          <w:sz w:val="18"/>
          <w:szCs w:val="18"/>
        </w:rPr>
        <w:t>. Chang.</w:t>
      </w:r>
      <w:r>
        <w:rPr>
          <w:sz w:val="18"/>
          <w:szCs w:val="18"/>
        </w:rPr>
        <w:t xml:space="preserve">, vol. 7, no. 7, pp. 501–506, 2017, </w:t>
      </w:r>
      <w:proofErr w:type="spellStart"/>
      <w:r>
        <w:rPr>
          <w:sz w:val="18"/>
          <w:szCs w:val="18"/>
        </w:rPr>
        <w:t>doi</w:t>
      </w:r>
      <w:proofErr w:type="spellEnd"/>
      <w:r>
        <w:rPr>
          <w:sz w:val="18"/>
          <w:szCs w:val="18"/>
        </w:rPr>
        <w:t>: 10.1038/nclimate3322.</w:t>
      </w:r>
    </w:p>
    <w:p w14:paraId="59BB4669" w14:textId="77777777" w:rsidR="00200EFF" w:rsidRDefault="00000000">
      <w:pPr>
        <w:widowControl w:val="0"/>
        <w:ind w:left="640" w:hanging="640"/>
        <w:rPr>
          <w:sz w:val="18"/>
          <w:szCs w:val="18"/>
        </w:rPr>
      </w:pPr>
      <w:r>
        <w:rPr>
          <w:sz w:val="18"/>
          <w:szCs w:val="18"/>
        </w:rPr>
        <w:t>[4]</w:t>
      </w:r>
      <w:r>
        <w:rPr>
          <w:sz w:val="18"/>
          <w:szCs w:val="18"/>
        </w:rPr>
        <w:tab/>
        <w:t xml:space="preserve">Z. Dong </w:t>
      </w:r>
      <w:r>
        <w:rPr>
          <w:i/>
          <w:sz w:val="18"/>
          <w:szCs w:val="18"/>
        </w:rPr>
        <w:t>et al.</w:t>
      </w:r>
      <w:r>
        <w:rPr>
          <w:sz w:val="18"/>
          <w:szCs w:val="18"/>
        </w:rPr>
        <w:t xml:space="preserve">, “Heatwaves in Southeast Asia and Their Changes in a Warmer World,” </w:t>
      </w:r>
      <w:r>
        <w:rPr>
          <w:i/>
          <w:sz w:val="18"/>
          <w:szCs w:val="18"/>
        </w:rPr>
        <w:t xml:space="preserve">Earth’s </w:t>
      </w:r>
      <w:proofErr w:type="spellStart"/>
      <w:r>
        <w:rPr>
          <w:i/>
          <w:sz w:val="18"/>
          <w:szCs w:val="18"/>
        </w:rPr>
        <w:t>Futur</w:t>
      </w:r>
      <w:proofErr w:type="spellEnd"/>
      <w:r>
        <w:rPr>
          <w:i/>
          <w:sz w:val="18"/>
          <w:szCs w:val="18"/>
        </w:rPr>
        <w:t>.</w:t>
      </w:r>
      <w:r>
        <w:rPr>
          <w:sz w:val="18"/>
          <w:szCs w:val="18"/>
        </w:rPr>
        <w:t xml:space="preserve">, vol. 9, no. 7, pp. 1–13, 2021, </w:t>
      </w:r>
      <w:proofErr w:type="spellStart"/>
      <w:r>
        <w:rPr>
          <w:sz w:val="18"/>
          <w:szCs w:val="18"/>
        </w:rPr>
        <w:t>doi</w:t>
      </w:r>
      <w:proofErr w:type="spellEnd"/>
      <w:r>
        <w:rPr>
          <w:sz w:val="18"/>
          <w:szCs w:val="18"/>
        </w:rPr>
        <w:t>: 10.1029/2021EF001992.</w:t>
      </w:r>
    </w:p>
    <w:p w14:paraId="59BB466A" w14:textId="77777777" w:rsidR="00200EFF" w:rsidRDefault="00000000">
      <w:pPr>
        <w:widowControl w:val="0"/>
        <w:ind w:left="640" w:hanging="640"/>
        <w:rPr>
          <w:sz w:val="18"/>
          <w:szCs w:val="18"/>
        </w:rPr>
      </w:pPr>
      <w:r>
        <w:rPr>
          <w:sz w:val="18"/>
          <w:szCs w:val="18"/>
        </w:rPr>
        <w:t>[5]</w:t>
      </w:r>
      <w:r>
        <w:rPr>
          <w:sz w:val="18"/>
          <w:szCs w:val="18"/>
        </w:rPr>
        <w:tab/>
        <w:t xml:space="preserve">C. Xu, T. A. Kohler, T. M. </w:t>
      </w:r>
      <w:proofErr w:type="spellStart"/>
      <w:r>
        <w:rPr>
          <w:sz w:val="18"/>
          <w:szCs w:val="18"/>
        </w:rPr>
        <w:t>Lenton</w:t>
      </w:r>
      <w:proofErr w:type="spellEnd"/>
      <w:r>
        <w:rPr>
          <w:sz w:val="18"/>
          <w:szCs w:val="18"/>
        </w:rPr>
        <w:t xml:space="preserve">, J. C. </w:t>
      </w:r>
      <w:proofErr w:type="spellStart"/>
      <w:r>
        <w:rPr>
          <w:sz w:val="18"/>
          <w:szCs w:val="18"/>
        </w:rPr>
        <w:t>Svenning</w:t>
      </w:r>
      <w:proofErr w:type="spellEnd"/>
      <w:r>
        <w:rPr>
          <w:sz w:val="18"/>
          <w:szCs w:val="18"/>
        </w:rPr>
        <w:t xml:space="preserve">, and M. </w:t>
      </w:r>
      <w:proofErr w:type="spellStart"/>
      <w:r>
        <w:rPr>
          <w:sz w:val="18"/>
          <w:szCs w:val="18"/>
        </w:rPr>
        <w:t>Scheffer</w:t>
      </w:r>
      <w:proofErr w:type="spellEnd"/>
      <w:r>
        <w:rPr>
          <w:sz w:val="18"/>
          <w:szCs w:val="18"/>
        </w:rPr>
        <w:t xml:space="preserve">, “Future of the human climate niche,” </w:t>
      </w:r>
      <w:r>
        <w:rPr>
          <w:i/>
          <w:sz w:val="18"/>
          <w:szCs w:val="18"/>
        </w:rPr>
        <w:t>Proc. Natl. Acad. Sci. U. S. A.</w:t>
      </w:r>
      <w:r>
        <w:rPr>
          <w:sz w:val="18"/>
          <w:szCs w:val="18"/>
        </w:rPr>
        <w:t xml:space="preserve">, vol. 117, no. 21, 2020, </w:t>
      </w:r>
      <w:proofErr w:type="spellStart"/>
      <w:r>
        <w:rPr>
          <w:sz w:val="18"/>
          <w:szCs w:val="18"/>
        </w:rPr>
        <w:t>doi</w:t>
      </w:r>
      <w:proofErr w:type="spellEnd"/>
      <w:r>
        <w:rPr>
          <w:sz w:val="18"/>
          <w:szCs w:val="18"/>
        </w:rPr>
        <w:t>: 10.1073/pnas.1910114117.</w:t>
      </w:r>
    </w:p>
    <w:p w14:paraId="59BB466B" w14:textId="77777777" w:rsidR="00200EFF" w:rsidRDefault="00000000">
      <w:pPr>
        <w:widowControl w:val="0"/>
        <w:ind w:left="640" w:hanging="640"/>
        <w:rPr>
          <w:sz w:val="18"/>
          <w:szCs w:val="18"/>
        </w:rPr>
      </w:pPr>
      <w:r>
        <w:rPr>
          <w:sz w:val="18"/>
          <w:szCs w:val="18"/>
        </w:rPr>
        <w:t>[6]</w:t>
      </w:r>
      <w:r>
        <w:rPr>
          <w:sz w:val="18"/>
          <w:szCs w:val="18"/>
        </w:rPr>
        <w:tab/>
        <w:t xml:space="preserve">J. Chambers, “Global and cross-country analysis of exposure of vulnerable populations to heatwaves from 1980 to 2018,” </w:t>
      </w:r>
      <w:proofErr w:type="spellStart"/>
      <w:r>
        <w:rPr>
          <w:i/>
          <w:sz w:val="18"/>
          <w:szCs w:val="18"/>
        </w:rPr>
        <w:t>Clim</w:t>
      </w:r>
      <w:proofErr w:type="spellEnd"/>
      <w:r>
        <w:rPr>
          <w:i/>
          <w:sz w:val="18"/>
          <w:szCs w:val="18"/>
        </w:rPr>
        <w:t>. Change</w:t>
      </w:r>
      <w:r>
        <w:rPr>
          <w:sz w:val="18"/>
          <w:szCs w:val="18"/>
        </w:rPr>
        <w:t xml:space="preserve">, vol. 163, no. 1, pp. 539–558, 2020, </w:t>
      </w:r>
      <w:proofErr w:type="spellStart"/>
      <w:r>
        <w:rPr>
          <w:sz w:val="18"/>
          <w:szCs w:val="18"/>
        </w:rPr>
        <w:t>doi</w:t>
      </w:r>
      <w:proofErr w:type="spellEnd"/>
      <w:r>
        <w:rPr>
          <w:sz w:val="18"/>
          <w:szCs w:val="18"/>
        </w:rPr>
        <w:t>: 10.1007/s10584-020-02884-2.</w:t>
      </w:r>
    </w:p>
    <w:p w14:paraId="59BB466C" w14:textId="77777777" w:rsidR="00200EFF" w:rsidRDefault="00000000">
      <w:pPr>
        <w:widowControl w:val="0"/>
        <w:ind w:left="640" w:hanging="640"/>
        <w:rPr>
          <w:sz w:val="18"/>
          <w:szCs w:val="18"/>
        </w:rPr>
      </w:pPr>
      <w:r>
        <w:rPr>
          <w:sz w:val="18"/>
          <w:szCs w:val="18"/>
        </w:rPr>
        <w:t>[7]</w:t>
      </w:r>
      <w:r>
        <w:rPr>
          <w:sz w:val="18"/>
          <w:szCs w:val="18"/>
        </w:rPr>
        <w:tab/>
        <w:t xml:space="preserve">E. Y. </w:t>
      </w:r>
      <w:proofErr w:type="spellStart"/>
      <w:r>
        <w:rPr>
          <w:sz w:val="18"/>
          <w:szCs w:val="18"/>
        </w:rPr>
        <w:t>Yovi</w:t>
      </w:r>
      <w:proofErr w:type="spellEnd"/>
      <w:r>
        <w:rPr>
          <w:sz w:val="18"/>
          <w:szCs w:val="18"/>
        </w:rPr>
        <w:t>, “Climate Change Impacts on Occupational Health of Indonesian Farmers and Forestry Workers,” pp. 1–45, 2022.</w:t>
      </w:r>
    </w:p>
    <w:p w14:paraId="59BB466D" w14:textId="77777777" w:rsidR="00200EFF" w:rsidRDefault="00000000">
      <w:pPr>
        <w:widowControl w:val="0"/>
        <w:ind w:left="640" w:hanging="640"/>
        <w:rPr>
          <w:sz w:val="18"/>
          <w:szCs w:val="18"/>
        </w:rPr>
      </w:pPr>
      <w:r>
        <w:rPr>
          <w:sz w:val="18"/>
          <w:szCs w:val="18"/>
        </w:rPr>
        <w:t>[8]</w:t>
      </w:r>
      <w:r>
        <w:rPr>
          <w:sz w:val="18"/>
          <w:szCs w:val="18"/>
        </w:rPr>
        <w:tab/>
        <w:t xml:space="preserve">E. E. Ramsay </w:t>
      </w:r>
      <w:r>
        <w:rPr>
          <w:i/>
          <w:sz w:val="18"/>
          <w:szCs w:val="18"/>
        </w:rPr>
        <w:t>et al.</w:t>
      </w:r>
      <w:r>
        <w:rPr>
          <w:sz w:val="18"/>
          <w:szCs w:val="18"/>
        </w:rPr>
        <w:t xml:space="preserve">, “Chronic heat stress in tropical urban informal settlements,” </w:t>
      </w:r>
      <w:proofErr w:type="spellStart"/>
      <w:r>
        <w:rPr>
          <w:i/>
          <w:sz w:val="18"/>
          <w:szCs w:val="18"/>
        </w:rPr>
        <w:t>iScience</w:t>
      </w:r>
      <w:proofErr w:type="spellEnd"/>
      <w:r>
        <w:rPr>
          <w:sz w:val="18"/>
          <w:szCs w:val="18"/>
        </w:rPr>
        <w:t xml:space="preserve">, vol. 24, no. 11, 2021, </w:t>
      </w:r>
      <w:proofErr w:type="spellStart"/>
      <w:r>
        <w:rPr>
          <w:sz w:val="18"/>
          <w:szCs w:val="18"/>
        </w:rPr>
        <w:t>doi</w:t>
      </w:r>
      <w:proofErr w:type="spellEnd"/>
      <w:r>
        <w:rPr>
          <w:sz w:val="18"/>
          <w:szCs w:val="18"/>
        </w:rPr>
        <w:t>: 10.1016/j.isci.2021.103248.</w:t>
      </w:r>
    </w:p>
    <w:p w14:paraId="59BB466E" w14:textId="77777777" w:rsidR="00200EFF" w:rsidRDefault="00000000">
      <w:pPr>
        <w:widowControl w:val="0"/>
        <w:ind w:left="640" w:hanging="640"/>
        <w:rPr>
          <w:sz w:val="18"/>
          <w:szCs w:val="18"/>
        </w:rPr>
      </w:pPr>
      <w:r>
        <w:rPr>
          <w:sz w:val="18"/>
          <w:szCs w:val="18"/>
        </w:rPr>
        <w:t>[9]</w:t>
      </w:r>
      <w:r>
        <w:rPr>
          <w:sz w:val="18"/>
          <w:szCs w:val="18"/>
        </w:rPr>
        <w:tab/>
        <w:t xml:space="preserve">G. R. McGregor, P. </w:t>
      </w:r>
      <w:proofErr w:type="spellStart"/>
      <w:r>
        <w:rPr>
          <w:sz w:val="18"/>
          <w:szCs w:val="18"/>
        </w:rPr>
        <w:t>Bessemoulin</w:t>
      </w:r>
      <w:proofErr w:type="spellEnd"/>
      <w:r>
        <w:rPr>
          <w:sz w:val="18"/>
          <w:szCs w:val="18"/>
        </w:rPr>
        <w:t xml:space="preserve">, K. </w:t>
      </w:r>
      <w:proofErr w:type="spellStart"/>
      <w:r>
        <w:rPr>
          <w:sz w:val="18"/>
          <w:szCs w:val="18"/>
        </w:rPr>
        <w:t>Ebi</w:t>
      </w:r>
      <w:proofErr w:type="spellEnd"/>
      <w:r>
        <w:rPr>
          <w:sz w:val="18"/>
          <w:szCs w:val="18"/>
        </w:rPr>
        <w:t xml:space="preserve">, and B. </w:t>
      </w:r>
      <w:proofErr w:type="spellStart"/>
      <w:r>
        <w:rPr>
          <w:sz w:val="18"/>
          <w:szCs w:val="18"/>
        </w:rPr>
        <w:t>Menne</w:t>
      </w:r>
      <w:proofErr w:type="spellEnd"/>
      <w:r>
        <w:rPr>
          <w:sz w:val="18"/>
          <w:szCs w:val="18"/>
        </w:rPr>
        <w:t xml:space="preserve">, </w:t>
      </w:r>
      <w:r>
        <w:rPr>
          <w:i/>
          <w:sz w:val="18"/>
          <w:szCs w:val="18"/>
        </w:rPr>
        <w:t>Heatwaves and Health: Guidance on Warning-System Development</w:t>
      </w:r>
      <w:r>
        <w:rPr>
          <w:sz w:val="18"/>
          <w:szCs w:val="18"/>
        </w:rPr>
        <w:t>, no. 1142. 2015.</w:t>
      </w:r>
    </w:p>
    <w:p w14:paraId="59BB466F" w14:textId="77777777" w:rsidR="00200EFF" w:rsidRDefault="00000000">
      <w:pPr>
        <w:widowControl w:val="0"/>
        <w:ind w:left="640" w:hanging="640"/>
        <w:rPr>
          <w:sz w:val="18"/>
          <w:szCs w:val="18"/>
        </w:rPr>
      </w:pPr>
      <w:r>
        <w:rPr>
          <w:sz w:val="18"/>
          <w:szCs w:val="18"/>
        </w:rPr>
        <w:t>[10]</w:t>
      </w:r>
      <w:r>
        <w:rPr>
          <w:sz w:val="18"/>
          <w:szCs w:val="18"/>
        </w:rPr>
        <w:tab/>
        <w:t xml:space="preserve">N. Watts </w:t>
      </w:r>
      <w:r>
        <w:rPr>
          <w:i/>
          <w:sz w:val="18"/>
          <w:szCs w:val="18"/>
        </w:rPr>
        <w:t>et al.</w:t>
      </w:r>
      <w:r>
        <w:rPr>
          <w:sz w:val="18"/>
          <w:szCs w:val="18"/>
        </w:rPr>
        <w:t xml:space="preserve">, “The 2020 report of The Lancet Countdown on health and climate change: responding to converging crises,” </w:t>
      </w:r>
      <w:r>
        <w:rPr>
          <w:i/>
          <w:sz w:val="18"/>
          <w:szCs w:val="18"/>
        </w:rPr>
        <w:t>Lancet</w:t>
      </w:r>
      <w:r>
        <w:rPr>
          <w:sz w:val="18"/>
          <w:szCs w:val="18"/>
        </w:rPr>
        <w:t xml:space="preserve">, vol. 397, no. 10269, pp. 129–170, 2021, </w:t>
      </w:r>
      <w:proofErr w:type="spellStart"/>
      <w:r>
        <w:rPr>
          <w:sz w:val="18"/>
          <w:szCs w:val="18"/>
        </w:rPr>
        <w:t>doi</w:t>
      </w:r>
      <w:proofErr w:type="spellEnd"/>
      <w:r>
        <w:rPr>
          <w:sz w:val="18"/>
          <w:szCs w:val="18"/>
        </w:rPr>
        <w:t>: 10.1016/S0140-6736(20)32290-X.</w:t>
      </w:r>
    </w:p>
    <w:p w14:paraId="59BB4670" w14:textId="77777777" w:rsidR="00200EFF" w:rsidRDefault="00000000">
      <w:pPr>
        <w:widowControl w:val="0"/>
        <w:ind w:left="640" w:hanging="640"/>
        <w:rPr>
          <w:sz w:val="18"/>
          <w:szCs w:val="18"/>
        </w:rPr>
      </w:pPr>
      <w:r>
        <w:rPr>
          <w:sz w:val="18"/>
          <w:szCs w:val="18"/>
        </w:rPr>
        <w:t>[11]</w:t>
      </w:r>
      <w:r>
        <w:rPr>
          <w:sz w:val="18"/>
          <w:szCs w:val="18"/>
        </w:rPr>
        <w:tab/>
        <w:t xml:space="preserve">R. Singh, J. </w:t>
      </w:r>
      <w:proofErr w:type="spellStart"/>
      <w:r>
        <w:rPr>
          <w:sz w:val="18"/>
          <w:szCs w:val="18"/>
        </w:rPr>
        <w:t>Arrighi</w:t>
      </w:r>
      <w:proofErr w:type="spellEnd"/>
      <w:r>
        <w:rPr>
          <w:sz w:val="18"/>
          <w:szCs w:val="18"/>
        </w:rPr>
        <w:t xml:space="preserve">, E. </w:t>
      </w:r>
      <w:proofErr w:type="spellStart"/>
      <w:r>
        <w:rPr>
          <w:sz w:val="18"/>
          <w:szCs w:val="18"/>
        </w:rPr>
        <w:t>Jjemba</w:t>
      </w:r>
      <w:proofErr w:type="spellEnd"/>
      <w:r>
        <w:rPr>
          <w:sz w:val="18"/>
          <w:szCs w:val="18"/>
        </w:rPr>
        <w:t xml:space="preserve">, K. Strachan, M. Spires, and A. Kadihasanoglu, “Heatwave Guide for Cities,” </w:t>
      </w:r>
      <w:r>
        <w:rPr>
          <w:i/>
          <w:sz w:val="18"/>
          <w:szCs w:val="18"/>
        </w:rPr>
        <w:t xml:space="preserve">Red Cross Red Crescent </w:t>
      </w:r>
      <w:proofErr w:type="spellStart"/>
      <w:r>
        <w:rPr>
          <w:i/>
          <w:sz w:val="18"/>
          <w:szCs w:val="18"/>
        </w:rPr>
        <w:t>Clim</w:t>
      </w:r>
      <w:proofErr w:type="spellEnd"/>
      <w:r>
        <w:rPr>
          <w:i/>
          <w:sz w:val="18"/>
          <w:szCs w:val="18"/>
        </w:rPr>
        <w:t>. Cent.</w:t>
      </w:r>
      <w:r>
        <w:rPr>
          <w:sz w:val="18"/>
          <w:szCs w:val="18"/>
        </w:rPr>
        <w:t xml:space="preserve">, 2019, </w:t>
      </w:r>
      <w:proofErr w:type="spellStart"/>
      <w:r>
        <w:rPr>
          <w:sz w:val="18"/>
          <w:szCs w:val="18"/>
        </w:rPr>
        <w:t>doi</w:t>
      </w:r>
      <w:proofErr w:type="spellEnd"/>
      <w:r>
        <w:rPr>
          <w:sz w:val="18"/>
          <w:szCs w:val="18"/>
        </w:rPr>
        <w:t>: 10.1088/1751-8113/44/8/085201.</w:t>
      </w:r>
    </w:p>
    <w:p w14:paraId="59BB4671" w14:textId="77777777" w:rsidR="00200EFF" w:rsidRDefault="00000000">
      <w:pPr>
        <w:widowControl w:val="0"/>
        <w:ind w:left="640" w:hanging="640"/>
        <w:rPr>
          <w:sz w:val="18"/>
          <w:szCs w:val="18"/>
        </w:rPr>
      </w:pPr>
      <w:r>
        <w:rPr>
          <w:sz w:val="18"/>
          <w:szCs w:val="18"/>
        </w:rPr>
        <w:t>[12]</w:t>
      </w:r>
      <w:r>
        <w:rPr>
          <w:sz w:val="18"/>
          <w:szCs w:val="18"/>
        </w:rPr>
        <w:tab/>
        <w:t xml:space="preserve">The World Bank, </w:t>
      </w:r>
      <w:r>
        <w:rPr>
          <w:i/>
          <w:sz w:val="18"/>
          <w:szCs w:val="18"/>
        </w:rPr>
        <w:t>Turn Down the Heat: Climate Extremes, Regional Impacts, and the Case for Resilience. A Report of the World Bank by the Potsdam Institute for Climate Impact Research and Climate Analytics</w:t>
      </w:r>
      <w:r>
        <w:rPr>
          <w:sz w:val="18"/>
          <w:szCs w:val="18"/>
        </w:rPr>
        <w:t>, vol. 31, no. 2. 2013.</w:t>
      </w:r>
    </w:p>
    <w:p w14:paraId="59BB4672" w14:textId="77777777" w:rsidR="00200EFF" w:rsidRDefault="00000000">
      <w:pPr>
        <w:widowControl w:val="0"/>
        <w:ind w:left="640" w:hanging="640"/>
        <w:rPr>
          <w:sz w:val="18"/>
          <w:szCs w:val="18"/>
        </w:rPr>
      </w:pPr>
      <w:r>
        <w:rPr>
          <w:sz w:val="18"/>
          <w:szCs w:val="18"/>
        </w:rPr>
        <w:t>[13]</w:t>
      </w:r>
      <w:r>
        <w:rPr>
          <w:sz w:val="18"/>
          <w:szCs w:val="18"/>
        </w:rPr>
        <w:tab/>
        <w:t xml:space="preserve">M. Li, S. Gu, P. Bi, J. Yang, and Q. Liu, “Heat waves and morbidity: Current knowledge and further direction-a comprehensive literature review,” </w:t>
      </w:r>
      <w:r>
        <w:rPr>
          <w:i/>
          <w:sz w:val="18"/>
          <w:szCs w:val="18"/>
        </w:rPr>
        <w:t>Int. J. Environ. Res. Public Health</w:t>
      </w:r>
      <w:r>
        <w:rPr>
          <w:sz w:val="18"/>
          <w:szCs w:val="18"/>
        </w:rPr>
        <w:t xml:space="preserve">, vol. 12, no. 5, pp. 5256–5283, 2015, </w:t>
      </w:r>
      <w:proofErr w:type="spellStart"/>
      <w:r>
        <w:rPr>
          <w:sz w:val="18"/>
          <w:szCs w:val="18"/>
        </w:rPr>
        <w:t>doi</w:t>
      </w:r>
      <w:proofErr w:type="spellEnd"/>
      <w:r>
        <w:rPr>
          <w:sz w:val="18"/>
          <w:szCs w:val="18"/>
        </w:rPr>
        <w:t>: 10.3390/ijerph120505256.</w:t>
      </w:r>
    </w:p>
    <w:p w14:paraId="59BB4673" w14:textId="77777777" w:rsidR="00200EFF" w:rsidRDefault="00000000">
      <w:pPr>
        <w:widowControl w:val="0"/>
        <w:ind w:left="640" w:hanging="640"/>
        <w:rPr>
          <w:sz w:val="18"/>
          <w:szCs w:val="18"/>
        </w:rPr>
      </w:pPr>
      <w:r>
        <w:rPr>
          <w:sz w:val="18"/>
          <w:szCs w:val="18"/>
        </w:rPr>
        <w:t>[14]</w:t>
      </w:r>
      <w:r>
        <w:rPr>
          <w:sz w:val="18"/>
          <w:szCs w:val="18"/>
        </w:rPr>
        <w:tab/>
        <w:t xml:space="preserve">G. </w:t>
      </w:r>
      <w:proofErr w:type="spellStart"/>
      <w:r>
        <w:rPr>
          <w:sz w:val="18"/>
          <w:szCs w:val="18"/>
        </w:rPr>
        <w:t>Manoli</w:t>
      </w:r>
      <w:proofErr w:type="spellEnd"/>
      <w:r>
        <w:rPr>
          <w:sz w:val="18"/>
          <w:szCs w:val="18"/>
        </w:rPr>
        <w:t xml:space="preserve"> </w:t>
      </w:r>
      <w:r>
        <w:rPr>
          <w:i/>
          <w:sz w:val="18"/>
          <w:szCs w:val="18"/>
        </w:rPr>
        <w:t>et al.</w:t>
      </w:r>
      <w:r>
        <w:rPr>
          <w:sz w:val="18"/>
          <w:szCs w:val="18"/>
        </w:rPr>
        <w:t xml:space="preserve">, “Magnitude of urban heat islands largely explained by climate and population,” </w:t>
      </w:r>
      <w:r>
        <w:rPr>
          <w:i/>
          <w:sz w:val="18"/>
          <w:szCs w:val="18"/>
        </w:rPr>
        <w:t>Nature</w:t>
      </w:r>
      <w:r>
        <w:rPr>
          <w:sz w:val="18"/>
          <w:szCs w:val="18"/>
        </w:rPr>
        <w:t xml:space="preserve">, vol. 573, no. 7772, pp. 55–60, 2019, </w:t>
      </w:r>
      <w:proofErr w:type="spellStart"/>
      <w:r>
        <w:rPr>
          <w:sz w:val="18"/>
          <w:szCs w:val="18"/>
        </w:rPr>
        <w:t>doi</w:t>
      </w:r>
      <w:proofErr w:type="spellEnd"/>
      <w:r>
        <w:rPr>
          <w:sz w:val="18"/>
          <w:szCs w:val="18"/>
        </w:rPr>
        <w:t>: 10.1038/s41586-019-1512-9.</w:t>
      </w:r>
    </w:p>
    <w:p w14:paraId="59BB4674" w14:textId="77777777" w:rsidR="00200EFF" w:rsidRDefault="00000000">
      <w:pPr>
        <w:widowControl w:val="0"/>
        <w:ind w:left="640" w:hanging="640"/>
        <w:rPr>
          <w:sz w:val="18"/>
          <w:szCs w:val="18"/>
        </w:rPr>
      </w:pPr>
      <w:r>
        <w:rPr>
          <w:sz w:val="18"/>
          <w:szCs w:val="18"/>
        </w:rPr>
        <w:t>[15]</w:t>
      </w:r>
      <w:r>
        <w:rPr>
          <w:sz w:val="18"/>
          <w:szCs w:val="18"/>
        </w:rPr>
        <w:tab/>
        <w:t xml:space="preserve">R. </w:t>
      </w:r>
      <w:proofErr w:type="spellStart"/>
      <w:r>
        <w:rPr>
          <w:sz w:val="18"/>
          <w:szCs w:val="18"/>
        </w:rPr>
        <w:t>Kotharkar</w:t>
      </w:r>
      <w:proofErr w:type="spellEnd"/>
      <w:r>
        <w:rPr>
          <w:sz w:val="18"/>
          <w:szCs w:val="18"/>
        </w:rPr>
        <w:t xml:space="preserve"> and A. Ghosh, “Progress in extreme heat management and warning systems: A systematic review of heat-health action plans (1995-2020),” </w:t>
      </w:r>
      <w:r>
        <w:rPr>
          <w:i/>
          <w:sz w:val="18"/>
          <w:szCs w:val="18"/>
        </w:rPr>
        <w:t>Sustain. Cities Soc.</w:t>
      </w:r>
      <w:r>
        <w:rPr>
          <w:sz w:val="18"/>
          <w:szCs w:val="18"/>
        </w:rPr>
        <w:t xml:space="preserve">, vol. 76, no. September 2021, p. 103487, 2021, </w:t>
      </w:r>
      <w:proofErr w:type="spellStart"/>
      <w:r>
        <w:rPr>
          <w:sz w:val="18"/>
          <w:szCs w:val="18"/>
        </w:rPr>
        <w:t>doi</w:t>
      </w:r>
      <w:proofErr w:type="spellEnd"/>
      <w:r>
        <w:rPr>
          <w:sz w:val="18"/>
          <w:szCs w:val="18"/>
        </w:rPr>
        <w:t>: 10.1016/j.scs.2021.103487.</w:t>
      </w:r>
    </w:p>
    <w:p w14:paraId="59BB4675" w14:textId="77777777" w:rsidR="00200EFF" w:rsidRDefault="00000000">
      <w:pPr>
        <w:widowControl w:val="0"/>
        <w:ind w:left="640" w:hanging="640"/>
        <w:rPr>
          <w:sz w:val="18"/>
          <w:szCs w:val="18"/>
        </w:rPr>
      </w:pPr>
      <w:r>
        <w:rPr>
          <w:sz w:val="18"/>
          <w:szCs w:val="18"/>
        </w:rPr>
        <w:t>[16]</w:t>
      </w:r>
      <w:r>
        <w:rPr>
          <w:sz w:val="18"/>
          <w:szCs w:val="18"/>
        </w:rPr>
        <w:tab/>
        <w:t xml:space="preserve">C. </w:t>
      </w:r>
      <w:proofErr w:type="spellStart"/>
      <w:r>
        <w:rPr>
          <w:sz w:val="18"/>
          <w:szCs w:val="18"/>
        </w:rPr>
        <w:t>Tuholske</w:t>
      </w:r>
      <w:proofErr w:type="spellEnd"/>
      <w:r>
        <w:rPr>
          <w:sz w:val="18"/>
          <w:szCs w:val="18"/>
        </w:rPr>
        <w:t xml:space="preserve"> </w:t>
      </w:r>
      <w:r>
        <w:rPr>
          <w:i/>
          <w:sz w:val="18"/>
          <w:szCs w:val="18"/>
        </w:rPr>
        <w:t>et al.</w:t>
      </w:r>
      <w:r>
        <w:rPr>
          <w:sz w:val="18"/>
          <w:szCs w:val="18"/>
        </w:rPr>
        <w:t xml:space="preserve">, “Global urban population exposure to extreme heat,” </w:t>
      </w:r>
      <w:r>
        <w:rPr>
          <w:i/>
          <w:sz w:val="18"/>
          <w:szCs w:val="18"/>
        </w:rPr>
        <w:t>Proc. Natl. Acad. Sci. U. S. A.</w:t>
      </w:r>
      <w:r>
        <w:rPr>
          <w:sz w:val="18"/>
          <w:szCs w:val="18"/>
        </w:rPr>
        <w:t xml:space="preserve">, vol. 118, no. 41, pp. 1–9, 2021, </w:t>
      </w:r>
      <w:proofErr w:type="spellStart"/>
      <w:r>
        <w:rPr>
          <w:sz w:val="18"/>
          <w:szCs w:val="18"/>
        </w:rPr>
        <w:t>doi</w:t>
      </w:r>
      <w:proofErr w:type="spellEnd"/>
      <w:r>
        <w:rPr>
          <w:sz w:val="18"/>
          <w:szCs w:val="18"/>
        </w:rPr>
        <w:t>: 10.1073/pnas.2024792118.</w:t>
      </w:r>
    </w:p>
    <w:p w14:paraId="59BB4676" w14:textId="77777777" w:rsidR="00200EFF" w:rsidRDefault="00000000">
      <w:pPr>
        <w:widowControl w:val="0"/>
        <w:ind w:left="640" w:hanging="640"/>
        <w:rPr>
          <w:sz w:val="18"/>
          <w:szCs w:val="18"/>
        </w:rPr>
      </w:pPr>
      <w:r>
        <w:rPr>
          <w:sz w:val="18"/>
          <w:szCs w:val="18"/>
        </w:rPr>
        <w:t>[17]</w:t>
      </w:r>
      <w:r>
        <w:rPr>
          <w:sz w:val="18"/>
          <w:szCs w:val="18"/>
        </w:rPr>
        <w:tab/>
        <w:t xml:space="preserve">K. Parsons, “Occupational health impacts of climate change: Current and future ISO standards for the assessment of heat stress,” </w:t>
      </w:r>
      <w:r>
        <w:rPr>
          <w:i/>
          <w:sz w:val="18"/>
          <w:szCs w:val="18"/>
        </w:rPr>
        <w:t>Ind. Health</w:t>
      </w:r>
      <w:r>
        <w:rPr>
          <w:sz w:val="18"/>
          <w:szCs w:val="18"/>
        </w:rPr>
        <w:t xml:space="preserve">, vol. 51, no. 1, pp. 86–100, 2013, </w:t>
      </w:r>
      <w:proofErr w:type="spellStart"/>
      <w:r>
        <w:rPr>
          <w:sz w:val="18"/>
          <w:szCs w:val="18"/>
        </w:rPr>
        <w:t>doi</w:t>
      </w:r>
      <w:proofErr w:type="spellEnd"/>
      <w:r>
        <w:rPr>
          <w:sz w:val="18"/>
          <w:szCs w:val="18"/>
        </w:rPr>
        <w:t>: 10.2486/indhealth.2012-0165.</w:t>
      </w:r>
    </w:p>
    <w:p w14:paraId="59BB4677" w14:textId="77777777" w:rsidR="00200EFF" w:rsidRDefault="00000000">
      <w:pPr>
        <w:widowControl w:val="0"/>
        <w:ind w:left="640" w:hanging="640"/>
        <w:rPr>
          <w:sz w:val="18"/>
          <w:szCs w:val="18"/>
        </w:rPr>
      </w:pPr>
      <w:r>
        <w:rPr>
          <w:sz w:val="18"/>
          <w:szCs w:val="18"/>
        </w:rPr>
        <w:t>[18]</w:t>
      </w:r>
      <w:r>
        <w:rPr>
          <w:sz w:val="18"/>
          <w:szCs w:val="18"/>
        </w:rPr>
        <w:tab/>
        <w:t xml:space="preserve">T. </w:t>
      </w:r>
      <w:proofErr w:type="spellStart"/>
      <w:r>
        <w:rPr>
          <w:sz w:val="18"/>
          <w:szCs w:val="18"/>
        </w:rPr>
        <w:t>Kjellstrom</w:t>
      </w:r>
      <w:proofErr w:type="spellEnd"/>
      <w:r>
        <w:rPr>
          <w:sz w:val="18"/>
          <w:szCs w:val="18"/>
        </w:rPr>
        <w:t xml:space="preserve">, B. Lemke, and M. Otto, “Climate conditions, workplace heat and occupational health in South-East Asia in the context of climate change,” </w:t>
      </w:r>
      <w:r>
        <w:rPr>
          <w:i/>
          <w:sz w:val="18"/>
          <w:szCs w:val="18"/>
        </w:rPr>
        <w:t xml:space="preserve">WHO South-East Asia J. </w:t>
      </w:r>
      <w:proofErr w:type="gramStart"/>
      <w:r>
        <w:rPr>
          <w:i/>
          <w:sz w:val="18"/>
          <w:szCs w:val="18"/>
        </w:rPr>
        <w:t>public</w:t>
      </w:r>
      <w:proofErr w:type="gramEnd"/>
      <w:r>
        <w:rPr>
          <w:i/>
          <w:sz w:val="18"/>
          <w:szCs w:val="18"/>
        </w:rPr>
        <w:t xml:space="preserve"> Heal.</w:t>
      </w:r>
      <w:r>
        <w:rPr>
          <w:sz w:val="18"/>
          <w:szCs w:val="18"/>
        </w:rPr>
        <w:t xml:space="preserve">, vol. 6, no. 2, pp. 15–21, 2017, </w:t>
      </w:r>
      <w:proofErr w:type="spellStart"/>
      <w:r>
        <w:rPr>
          <w:sz w:val="18"/>
          <w:szCs w:val="18"/>
        </w:rPr>
        <w:t>doi</w:t>
      </w:r>
      <w:proofErr w:type="spellEnd"/>
      <w:r>
        <w:rPr>
          <w:sz w:val="18"/>
          <w:szCs w:val="18"/>
        </w:rPr>
        <w:t>: 10.4103/2224-3151.213786.</w:t>
      </w:r>
    </w:p>
    <w:p w14:paraId="59BB4678" w14:textId="77777777" w:rsidR="00200EFF" w:rsidRDefault="00000000">
      <w:pPr>
        <w:widowControl w:val="0"/>
        <w:ind w:left="640" w:hanging="640"/>
        <w:rPr>
          <w:sz w:val="18"/>
          <w:szCs w:val="18"/>
        </w:rPr>
      </w:pPr>
      <w:r>
        <w:rPr>
          <w:sz w:val="18"/>
          <w:szCs w:val="18"/>
        </w:rPr>
        <w:t>[19]</w:t>
      </w:r>
      <w:r>
        <w:rPr>
          <w:sz w:val="18"/>
          <w:szCs w:val="18"/>
        </w:rPr>
        <w:tab/>
        <w:t xml:space="preserve">N. Byron and G. Shepherd, “Indonesia and the 1997-98 El Niño: fire problems and long-term solutions,” </w:t>
      </w:r>
      <w:proofErr w:type="spellStart"/>
      <w:r>
        <w:rPr>
          <w:i/>
          <w:sz w:val="18"/>
          <w:szCs w:val="18"/>
        </w:rPr>
        <w:t>Commonw</w:t>
      </w:r>
      <w:proofErr w:type="spellEnd"/>
      <w:r>
        <w:rPr>
          <w:i/>
          <w:sz w:val="18"/>
          <w:szCs w:val="18"/>
        </w:rPr>
        <w:t>. For. Rev.</w:t>
      </w:r>
      <w:r>
        <w:rPr>
          <w:sz w:val="18"/>
          <w:szCs w:val="18"/>
        </w:rPr>
        <w:t>, vol. 77, no. 28, p. 236, 1998.</w:t>
      </w:r>
    </w:p>
    <w:p w14:paraId="59BB4679" w14:textId="77777777" w:rsidR="00200EFF" w:rsidRDefault="00200EFF">
      <w:pPr>
        <w:widowControl w:val="0"/>
        <w:rPr>
          <w:b/>
          <w:color w:val="000000"/>
          <w:sz w:val="22"/>
          <w:szCs w:val="22"/>
        </w:rPr>
      </w:pPr>
    </w:p>
    <w:p w14:paraId="59BB467A" w14:textId="77777777" w:rsidR="00200EFF" w:rsidRDefault="00000000">
      <w:pPr>
        <w:rPr>
          <w:color w:val="000000"/>
          <w:sz w:val="20"/>
          <w:szCs w:val="20"/>
        </w:rPr>
      </w:pPr>
      <w:r>
        <w:rPr>
          <w:b/>
          <w:color w:val="000000"/>
          <w:sz w:val="18"/>
          <w:szCs w:val="18"/>
        </w:rPr>
        <w:t>Dataset</w:t>
      </w:r>
      <w:r>
        <w:rPr>
          <w:color w:val="000000"/>
          <w:sz w:val="18"/>
          <w:szCs w:val="18"/>
        </w:rPr>
        <w:t xml:space="preserve">: </w:t>
      </w:r>
      <w:proofErr w:type="spellStart"/>
      <w:r>
        <w:rPr>
          <w:color w:val="000000"/>
          <w:sz w:val="18"/>
          <w:szCs w:val="18"/>
        </w:rPr>
        <w:t>Tuholske</w:t>
      </w:r>
      <w:proofErr w:type="spellEnd"/>
      <w:r>
        <w:rPr>
          <w:color w:val="000000"/>
          <w:sz w:val="18"/>
          <w:szCs w:val="18"/>
        </w:rPr>
        <w:t>, C., P. Peterson, C. Funk, and K. Caylor. 2022. Annual Global High-Resolution Extreme Heat Estimates (Preliminary Release). Palisades, New York: NASA Socioeconomic Data and Applications Center (SEDAC). </w:t>
      </w:r>
      <w:hyperlink r:id="rId19">
        <w:r>
          <w:rPr>
            <w:color w:val="0563C1"/>
            <w:sz w:val="18"/>
            <w:szCs w:val="18"/>
            <w:u w:val="single"/>
          </w:rPr>
          <w:t>https://doi.org/10.7927/hff0-k565</w:t>
        </w:r>
      </w:hyperlink>
      <w:r>
        <w:rPr>
          <w:color w:val="000000"/>
          <w:sz w:val="18"/>
          <w:szCs w:val="18"/>
        </w:rPr>
        <w:t xml:space="preserve">. [Accessed 08/02/2023] </w:t>
      </w:r>
    </w:p>
    <w:p w14:paraId="59BB467B" w14:textId="77777777" w:rsidR="00200EFF" w:rsidRDefault="00200EFF">
      <w:pPr>
        <w:rPr>
          <w:color w:val="000000"/>
          <w:sz w:val="20"/>
          <w:szCs w:val="20"/>
        </w:rPr>
      </w:pPr>
    </w:p>
    <w:p w14:paraId="59BB467C" w14:textId="77777777" w:rsidR="00200EFF" w:rsidRDefault="00200EFF">
      <w:pPr>
        <w:rPr>
          <w:color w:val="000000"/>
          <w:sz w:val="20"/>
          <w:szCs w:val="20"/>
        </w:rPr>
      </w:pPr>
    </w:p>
    <w:p w14:paraId="59BB467D" w14:textId="77777777" w:rsidR="00200EFF" w:rsidRDefault="00200EFF">
      <w:pPr>
        <w:rPr>
          <w:color w:val="000000"/>
          <w:sz w:val="20"/>
          <w:szCs w:val="20"/>
        </w:rPr>
      </w:pPr>
    </w:p>
    <w:p w14:paraId="59BB467E" w14:textId="77777777" w:rsidR="00200EFF" w:rsidRDefault="00200EFF">
      <w:pPr>
        <w:rPr>
          <w:color w:val="000000"/>
          <w:sz w:val="20"/>
          <w:szCs w:val="20"/>
        </w:rPr>
      </w:pPr>
    </w:p>
    <w:p w14:paraId="59BB467F" w14:textId="77777777" w:rsidR="00200EFF" w:rsidRDefault="00000000">
      <w:pPr>
        <w:rPr>
          <w:color w:val="000000"/>
          <w:sz w:val="20"/>
          <w:szCs w:val="20"/>
        </w:rPr>
      </w:pPr>
      <w:r>
        <w:br w:type="page"/>
      </w:r>
    </w:p>
    <w:p w14:paraId="59BB4680" w14:textId="77777777" w:rsidR="00200EFF" w:rsidRDefault="00000000">
      <w:pPr>
        <w:rPr>
          <w:b/>
          <w:color w:val="1F3864"/>
          <w:sz w:val="28"/>
          <w:szCs w:val="28"/>
        </w:rPr>
      </w:pPr>
      <w:r>
        <w:rPr>
          <w:b/>
          <w:color w:val="1F3864"/>
          <w:sz w:val="28"/>
          <w:szCs w:val="28"/>
        </w:rPr>
        <w:lastRenderedPageBreak/>
        <w:t xml:space="preserve">Supplementary Materials </w:t>
      </w:r>
    </w:p>
    <w:p w14:paraId="59BB4681" w14:textId="77777777" w:rsidR="00200EFF" w:rsidRDefault="00200EFF">
      <w:pPr>
        <w:rPr>
          <w:b/>
          <w:sz w:val="22"/>
          <w:szCs w:val="22"/>
        </w:rPr>
      </w:pPr>
    </w:p>
    <w:p w14:paraId="59BB4682" w14:textId="77777777" w:rsidR="00200EFF" w:rsidRDefault="00000000">
      <w:pPr>
        <w:rPr>
          <w:sz w:val="22"/>
          <w:szCs w:val="22"/>
          <w:highlight w:val="yellow"/>
        </w:rPr>
      </w:pPr>
      <w:r>
        <w:rPr>
          <w:b/>
          <w:sz w:val="21"/>
          <w:szCs w:val="21"/>
        </w:rPr>
        <w:t>Weather stations</w:t>
      </w:r>
      <w:r>
        <w:rPr>
          <w:b/>
          <w:sz w:val="21"/>
          <w:szCs w:val="21"/>
          <w:highlight w:val="yellow"/>
        </w:rPr>
        <w:t xml:space="preserve"> – not </w:t>
      </w:r>
      <w:proofErr w:type="gramStart"/>
      <w:r>
        <w:rPr>
          <w:b/>
          <w:sz w:val="21"/>
          <w:szCs w:val="21"/>
          <w:highlight w:val="yellow"/>
        </w:rPr>
        <w:t>included</w:t>
      </w:r>
      <w:proofErr w:type="gramEnd"/>
    </w:p>
    <w:p w14:paraId="59BB4683" w14:textId="77777777" w:rsidR="00200EFF" w:rsidRDefault="00000000">
      <w:pPr>
        <w:rPr>
          <w:i/>
          <w:color w:val="1F3864"/>
          <w:sz w:val="21"/>
          <w:szCs w:val="21"/>
        </w:rPr>
      </w:pPr>
      <w:r>
        <w:rPr>
          <w:i/>
          <w:color w:val="1F3864"/>
          <w:sz w:val="21"/>
          <w:szCs w:val="21"/>
        </w:rPr>
        <w:t xml:space="preserve">Dataset: Weather stations (1980 – Present) </w:t>
      </w:r>
    </w:p>
    <w:p w14:paraId="59BB4684" w14:textId="77777777" w:rsidR="00200EFF" w:rsidRDefault="00000000">
      <w:pPr>
        <w:jc w:val="both"/>
        <w:rPr>
          <w:sz w:val="21"/>
          <w:szCs w:val="21"/>
        </w:rPr>
      </w:pPr>
      <w:r>
        <w:rPr>
          <w:sz w:val="21"/>
          <w:szCs w:val="21"/>
        </w:rPr>
        <w:t>Temperature observational records were obtained from National Climatic Data Center’s (NCDC) daily summaries (GHCN-Daily) archive (</w:t>
      </w:r>
      <w:hyperlink r:id="rId20">
        <w:r>
          <w:rPr>
            <w:color w:val="0563C1"/>
            <w:sz w:val="21"/>
            <w:szCs w:val="21"/>
            <w:u w:val="single"/>
          </w:rPr>
          <w:t>www.ncei.noaa.gov/</w:t>
        </w:r>
      </w:hyperlink>
      <w:r>
        <w:rPr>
          <w:sz w:val="21"/>
          <w:szCs w:val="21"/>
        </w:rPr>
        <w:t xml:space="preserve">). For this part of the analysis, three weather stations were extracted, one in Medan and two in Surabaya. However, </w:t>
      </w:r>
      <w:proofErr w:type="gramStart"/>
      <w:r>
        <w:rPr>
          <w:sz w:val="21"/>
          <w:szCs w:val="21"/>
        </w:rPr>
        <w:t>a large number of</w:t>
      </w:r>
      <w:proofErr w:type="gramEnd"/>
      <w:r>
        <w:rPr>
          <w:sz w:val="21"/>
          <w:szCs w:val="21"/>
        </w:rPr>
        <w:t xml:space="preserve"> missing values were found both for maximum and minimum temperatures, limiting our understanding of temperature trends. Therefore, an additional analysis was done with the datasets described below. </w:t>
      </w:r>
    </w:p>
    <w:p w14:paraId="59BB4685" w14:textId="77777777" w:rsidR="00200EFF" w:rsidRDefault="00000000">
      <w:pPr>
        <w:rPr>
          <w:b/>
          <w:sz w:val="22"/>
          <w:szCs w:val="22"/>
        </w:rPr>
      </w:pPr>
      <w:r>
        <w:rPr>
          <w:b/>
          <w:sz w:val="22"/>
          <w:szCs w:val="22"/>
        </w:rPr>
        <w:t xml:space="preserve"> </w:t>
      </w:r>
    </w:p>
    <w:p w14:paraId="59BB4686" w14:textId="77777777" w:rsidR="00200EFF" w:rsidRDefault="00000000">
      <w:pPr>
        <w:rPr>
          <w:b/>
          <w:sz w:val="21"/>
          <w:szCs w:val="21"/>
        </w:rPr>
      </w:pPr>
      <w:r>
        <w:rPr>
          <w:b/>
          <w:sz w:val="21"/>
          <w:szCs w:val="21"/>
        </w:rPr>
        <w:t xml:space="preserve">Medan: number of days WBGT &gt; 30 °C </w:t>
      </w:r>
    </w:p>
    <w:p w14:paraId="59BB4687" w14:textId="77777777" w:rsidR="00200EFF" w:rsidRDefault="00000000">
      <w:pPr>
        <w:rPr>
          <w:sz w:val="21"/>
          <w:szCs w:val="21"/>
        </w:rPr>
      </w:pPr>
      <w:r>
        <w:rPr>
          <w:sz w:val="21"/>
          <w:szCs w:val="21"/>
        </w:rPr>
        <w:t xml:space="preserve">Medan has experienced an average of </w:t>
      </w:r>
      <w:r>
        <w:rPr>
          <w:b/>
          <w:sz w:val="21"/>
          <w:szCs w:val="21"/>
        </w:rPr>
        <w:t>16 humid-hot days</w:t>
      </w:r>
      <w:r>
        <w:rPr>
          <w:sz w:val="21"/>
          <w:szCs w:val="21"/>
        </w:rPr>
        <w:t xml:space="preserve"> each year between 1983 and 2016, with a significant increase of </w:t>
      </w:r>
      <w:r>
        <w:rPr>
          <w:b/>
          <w:sz w:val="21"/>
          <w:szCs w:val="21"/>
        </w:rPr>
        <w:t>0.7 days</w:t>
      </w:r>
      <w:r>
        <w:rPr>
          <w:sz w:val="21"/>
          <w:szCs w:val="21"/>
        </w:rPr>
        <w:t xml:space="preserve"> per year observed. In other words, Medan has experienced 24 more days in 2016, compared to 1983. Years with exceptionally high number of humid-hot days include 1998, 2010, 2015 and 2016. </w:t>
      </w:r>
    </w:p>
    <w:p w14:paraId="59BB4688" w14:textId="77777777" w:rsidR="00200EFF" w:rsidRDefault="00200EFF">
      <w:pPr>
        <w:rPr>
          <w:sz w:val="21"/>
          <w:szCs w:val="21"/>
        </w:rPr>
      </w:pPr>
    </w:p>
    <w:p w14:paraId="59BB4689" w14:textId="77777777" w:rsidR="00200EFF" w:rsidRDefault="00000000">
      <w:pPr>
        <w:jc w:val="center"/>
        <w:rPr>
          <w:sz w:val="21"/>
          <w:szCs w:val="21"/>
        </w:rPr>
      </w:pPr>
      <w:r>
        <w:rPr>
          <w:noProof/>
          <w:sz w:val="22"/>
          <w:szCs w:val="22"/>
        </w:rPr>
        <w:drawing>
          <wp:inline distT="0" distB="0" distL="0" distR="0" wp14:anchorId="59BB469C" wp14:editId="59BB469D">
            <wp:extent cx="5220910" cy="2960638"/>
            <wp:effectExtent l="0" t="0" r="0" b="0"/>
            <wp:docPr id="4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5220910" cy="2960638"/>
                    </a:xfrm>
                    <a:prstGeom prst="rect">
                      <a:avLst/>
                    </a:prstGeom>
                    <a:ln/>
                  </pic:spPr>
                </pic:pic>
              </a:graphicData>
            </a:graphic>
          </wp:inline>
        </w:drawing>
      </w:r>
    </w:p>
    <w:p w14:paraId="59BB468A" w14:textId="77777777" w:rsidR="00200EFF" w:rsidRDefault="00000000">
      <w:pPr>
        <w:pBdr>
          <w:top w:val="nil"/>
          <w:left w:val="nil"/>
          <w:bottom w:val="nil"/>
          <w:right w:val="nil"/>
          <w:between w:val="nil"/>
        </w:pBdr>
        <w:spacing w:after="200"/>
        <w:jc w:val="center"/>
        <w:rPr>
          <w:i/>
          <w:color w:val="000000"/>
          <w:sz w:val="16"/>
          <w:szCs w:val="16"/>
        </w:rPr>
      </w:pPr>
      <w:r>
        <w:rPr>
          <w:b/>
          <w:i/>
          <w:color w:val="000000"/>
          <w:sz w:val="16"/>
          <w:szCs w:val="16"/>
        </w:rPr>
        <w:t xml:space="preserve">Figure 6 </w:t>
      </w:r>
      <w:r>
        <w:rPr>
          <w:i/>
          <w:color w:val="000000"/>
          <w:sz w:val="16"/>
          <w:szCs w:val="16"/>
        </w:rPr>
        <w:t>Annual average number of humid-hot days (WBGT &gt; 30 °C) for Medan, Indonesia.</w:t>
      </w:r>
    </w:p>
    <w:p w14:paraId="59BB468B" w14:textId="77777777" w:rsidR="00200EFF" w:rsidRDefault="00200EFF"/>
    <w:p w14:paraId="59BB468C" w14:textId="77777777" w:rsidR="00200EFF" w:rsidRDefault="00000000">
      <w:pPr>
        <w:jc w:val="center"/>
        <w:rPr>
          <w:sz w:val="22"/>
          <w:szCs w:val="22"/>
        </w:rPr>
      </w:pPr>
      <w:r>
        <w:rPr>
          <w:noProof/>
          <w:sz w:val="22"/>
          <w:szCs w:val="22"/>
        </w:rPr>
        <w:lastRenderedPageBreak/>
        <w:drawing>
          <wp:inline distT="0" distB="0" distL="0" distR="0" wp14:anchorId="59BB469E" wp14:editId="59BB469F">
            <wp:extent cx="6281044" cy="4738688"/>
            <wp:effectExtent l="0" t="0" r="0" b="0"/>
            <wp:docPr id="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l="1957" r="23541"/>
                    <a:stretch>
                      <a:fillRect/>
                    </a:stretch>
                  </pic:blipFill>
                  <pic:spPr>
                    <a:xfrm>
                      <a:off x="0" y="0"/>
                      <a:ext cx="6281044" cy="4738688"/>
                    </a:xfrm>
                    <a:prstGeom prst="rect">
                      <a:avLst/>
                    </a:prstGeom>
                    <a:ln/>
                  </pic:spPr>
                </pic:pic>
              </a:graphicData>
            </a:graphic>
          </wp:inline>
        </w:drawing>
      </w:r>
    </w:p>
    <w:p w14:paraId="59BB468D" w14:textId="77777777" w:rsidR="00200EFF" w:rsidRDefault="00000000">
      <w:pPr>
        <w:pBdr>
          <w:top w:val="nil"/>
          <w:left w:val="nil"/>
          <w:bottom w:val="nil"/>
          <w:right w:val="nil"/>
          <w:between w:val="nil"/>
        </w:pBdr>
        <w:spacing w:after="200"/>
        <w:jc w:val="center"/>
        <w:rPr>
          <w:b/>
          <w:i/>
          <w:color w:val="000000"/>
          <w:sz w:val="16"/>
          <w:szCs w:val="16"/>
        </w:rPr>
      </w:pPr>
      <w:r>
        <w:rPr>
          <w:b/>
          <w:i/>
          <w:color w:val="000000"/>
          <w:sz w:val="16"/>
          <w:szCs w:val="16"/>
        </w:rPr>
        <w:t xml:space="preserve">Figure 7 </w:t>
      </w:r>
      <w:r>
        <w:rPr>
          <w:i/>
          <w:color w:val="000000"/>
          <w:sz w:val="16"/>
          <w:szCs w:val="16"/>
        </w:rPr>
        <w:t>City-level exposure to days of heat stress (WBGT &gt; 30 °C) in person-days x 10</w:t>
      </w:r>
      <w:r>
        <w:rPr>
          <w:i/>
          <w:color w:val="000000"/>
          <w:sz w:val="16"/>
          <w:szCs w:val="16"/>
          <w:vertAlign w:val="superscript"/>
        </w:rPr>
        <w:t>9</w:t>
      </w:r>
      <w:r>
        <w:rPr>
          <w:i/>
          <w:color w:val="000000"/>
          <w:sz w:val="16"/>
          <w:szCs w:val="16"/>
        </w:rPr>
        <w:t xml:space="preserve"> (billions) for 1983-2016, with contribution from urban population growth and total urban warming.</w:t>
      </w:r>
    </w:p>
    <w:sectPr w:rsidR="00200EFF">
      <w:headerReference w:type="default" r:id="rId23"/>
      <w:footerReference w:type="even" r:id="rId24"/>
      <w:footerReference w:type="default" r:id="rId25"/>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1B7F" w14:textId="77777777" w:rsidR="00D454B0" w:rsidRDefault="00D454B0">
      <w:r>
        <w:separator/>
      </w:r>
    </w:p>
  </w:endnote>
  <w:endnote w:type="continuationSeparator" w:id="0">
    <w:p w14:paraId="518BD72F" w14:textId="77777777" w:rsidR="00D454B0" w:rsidRDefault="00D4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46A1" w14:textId="77777777" w:rsidR="00200EFF"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9BB46A2" w14:textId="77777777" w:rsidR="00200EFF" w:rsidRDefault="00200EFF">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46A3" w14:textId="77D382D8" w:rsidR="00200EFF" w:rsidRDefault="00000000">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61857">
      <w:rPr>
        <w:noProof/>
        <w:color w:val="000000"/>
        <w:sz w:val="20"/>
        <w:szCs w:val="20"/>
      </w:rPr>
      <w:t>1</w:t>
    </w:r>
    <w:r>
      <w:rPr>
        <w:color w:val="000000"/>
        <w:sz w:val="20"/>
        <w:szCs w:val="20"/>
      </w:rPr>
      <w:fldChar w:fldCharType="end"/>
    </w:r>
  </w:p>
  <w:p w14:paraId="59BB46A4" w14:textId="77777777" w:rsidR="00200EFF" w:rsidRDefault="00200EFF">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1695" w14:textId="77777777" w:rsidR="00D454B0" w:rsidRDefault="00D454B0">
      <w:r>
        <w:separator/>
      </w:r>
    </w:p>
  </w:footnote>
  <w:footnote w:type="continuationSeparator" w:id="0">
    <w:p w14:paraId="7A34C10B" w14:textId="77777777" w:rsidR="00D454B0" w:rsidRDefault="00D45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46A0" w14:textId="77777777" w:rsidR="00200EFF" w:rsidRDefault="00000000">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59BB46A5" wp14:editId="59BB46A6">
          <wp:simplePos x="0" y="0"/>
          <wp:positionH relativeFrom="column">
            <wp:posOffset>4490977</wp:posOffset>
          </wp:positionH>
          <wp:positionV relativeFrom="paragraph">
            <wp:posOffset>-368556</wp:posOffset>
          </wp:positionV>
          <wp:extent cx="2079913" cy="887430"/>
          <wp:effectExtent l="0" t="0" r="0" b="0"/>
          <wp:wrapNone/>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alphaModFix amt="40000"/>
                  </a:blip>
                  <a:srcRect/>
                  <a:stretch>
                    <a:fillRect/>
                  </a:stretch>
                </pic:blipFill>
                <pic:spPr>
                  <a:xfrm>
                    <a:off x="0" y="0"/>
                    <a:ext cx="2079913" cy="8874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2C9"/>
    <w:multiLevelType w:val="multilevel"/>
    <w:tmpl w:val="26CCDEC8"/>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 w15:restartNumberingAfterBreak="0">
    <w:nsid w:val="2F3A0806"/>
    <w:multiLevelType w:val="multilevel"/>
    <w:tmpl w:val="0C78C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5464EE"/>
    <w:multiLevelType w:val="multilevel"/>
    <w:tmpl w:val="BA6E9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201FBA"/>
    <w:multiLevelType w:val="multilevel"/>
    <w:tmpl w:val="A54007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4204371">
    <w:abstractNumId w:val="0"/>
  </w:num>
  <w:num w:numId="2" w16cid:durableId="1455363145">
    <w:abstractNumId w:val="2"/>
  </w:num>
  <w:num w:numId="3" w16cid:durableId="1570774749">
    <w:abstractNumId w:val="1"/>
  </w:num>
  <w:num w:numId="4" w16cid:durableId="1163814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FF"/>
    <w:rsid w:val="00200EFF"/>
    <w:rsid w:val="00461857"/>
    <w:rsid w:val="00D454B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9BB45AB"/>
  <w15:docId w15:val="{94D31353-9DDD-AD4F-96B5-903A1D73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187640"/>
    <w:pPr>
      <w:tabs>
        <w:tab w:val="center" w:pos="4513"/>
        <w:tab w:val="right" w:pos="9026"/>
      </w:tabs>
    </w:pPr>
  </w:style>
  <w:style w:type="character" w:customStyle="1" w:styleId="FooterChar">
    <w:name w:val="Footer Char"/>
    <w:basedOn w:val="DefaultParagraphFont"/>
    <w:link w:val="Footer"/>
    <w:uiPriority w:val="99"/>
    <w:rsid w:val="00187640"/>
  </w:style>
  <w:style w:type="character" w:styleId="PageNumber">
    <w:name w:val="page number"/>
    <w:basedOn w:val="DefaultParagraphFont"/>
    <w:uiPriority w:val="99"/>
    <w:semiHidden/>
    <w:unhideWhenUsed/>
    <w:rsid w:val="00187640"/>
  </w:style>
  <w:style w:type="paragraph" w:styleId="Header">
    <w:name w:val="header"/>
    <w:basedOn w:val="Normal"/>
    <w:link w:val="HeaderChar"/>
    <w:uiPriority w:val="99"/>
    <w:unhideWhenUsed/>
    <w:rsid w:val="00187640"/>
    <w:pPr>
      <w:tabs>
        <w:tab w:val="center" w:pos="4513"/>
        <w:tab w:val="right" w:pos="9026"/>
      </w:tabs>
    </w:pPr>
  </w:style>
  <w:style w:type="character" w:customStyle="1" w:styleId="HeaderChar">
    <w:name w:val="Header Char"/>
    <w:basedOn w:val="DefaultParagraphFont"/>
    <w:link w:val="Header"/>
    <w:uiPriority w:val="99"/>
    <w:rsid w:val="00187640"/>
  </w:style>
  <w:style w:type="paragraph" w:styleId="ListParagraph">
    <w:name w:val="List Paragraph"/>
    <w:basedOn w:val="Normal"/>
    <w:uiPriority w:val="34"/>
    <w:qFormat/>
    <w:rsid w:val="00187640"/>
    <w:pPr>
      <w:ind w:left="720"/>
      <w:contextualSpacing/>
    </w:pPr>
  </w:style>
  <w:style w:type="character" w:styleId="Hyperlink">
    <w:name w:val="Hyperlink"/>
    <w:basedOn w:val="DefaultParagraphFont"/>
    <w:uiPriority w:val="99"/>
    <w:unhideWhenUsed/>
    <w:rsid w:val="005C25BC"/>
    <w:rPr>
      <w:color w:val="0563C1" w:themeColor="hyperlink"/>
      <w:u w:val="single"/>
    </w:rPr>
  </w:style>
  <w:style w:type="character" w:styleId="UnresolvedMention">
    <w:name w:val="Unresolved Mention"/>
    <w:basedOn w:val="DefaultParagraphFont"/>
    <w:uiPriority w:val="99"/>
    <w:semiHidden/>
    <w:unhideWhenUsed/>
    <w:rsid w:val="005C25BC"/>
    <w:rPr>
      <w:color w:val="605E5C"/>
      <w:shd w:val="clear" w:color="auto" w:fill="E1DFDD"/>
    </w:rPr>
  </w:style>
  <w:style w:type="paragraph" w:styleId="Caption">
    <w:name w:val="caption"/>
    <w:basedOn w:val="Normal"/>
    <w:next w:val="Normal"/>
    <w:uiPriority w:val="35"/>
    <w:unhideWhenUsed/>
    <w:qFormat/>
    <w:rsid w:val="00AF0114"/>
    <w:pPr>
      <w:spacing w:after="200"/>
    </w:pPr>
    <w:rPr>
      <w:rFonts w:asciiTheme="minorBidi" w:hAnsiTheme="minorBidi"/>
      <w:b/>
      <w:bCs/>
      <w:i/>
      <w:iCs/>
      <w:color w:val="000000" w:themeColor="text1"/>
      <w:sz w:val="14"/>
      <w:szCs w:val="14"/>
    </w:rPr>
  </w:style>
  <w:style w:type="table" w:styleId="TableGrid">
    <w:name w:val="Table Grid"/>
    <w:basedOn w:val="TableNormal"/>
    <w:uiPriority w:val="39"/>
    <w:rsid w:val="00D8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0114"/>
    <w:rPr>
      <w:sz w:val="16"/>
      <w:szCs w:val="16"/>
    </w:rPr>
  </w:style>
  <w:style w:type="paragraph" w:styleId="CommentText">
    <w:name w:val="annotation text"/>
    <w:basedOn w:val="Normal"/>
    <w:link w:val="CommentTextChar"/>
    <w:uiPriority w:val="99"/>
    <w:semiHidden/>
    <w:unhideWhenUsed/>
    <w:rsid w:val="00AF0114"/>
    <w:rPr>
      <w:sz w:val="20"/>
      <w:szCs w:val="20"/>
    </w:rPr>
  </w:style>
  <w:style w:type="character" w:customStyle="1" w:styleId="CommentTextChar">
    <w:name w:val="Comment Text Char"/>
    <w:basedOn w:val="DefaultParagraphFont"/>
    <w:link w:val="CommentText"/>
    <w:uiPriority w:val="99"/>
    <w:semiHidden/>
    <w:rsid w:val="00AF0114"/>
    <w:rPr>
      <w:sz w:val="20"/>
      <w:szCs w:val="20"/>
    </w:rPr>
  </w:style>
  <w:style w:type="paragraph" w:styleId="CommentSubject">
    <w:name w:val="annotation subject"/>
    <w:basedOn w:val="CommentText"/>
    <w:next w:val="CommentText"/>
    <w:link w:val="CommentSubjectChar"/>
    <w:uiPriority w:val="99"/>
    <w:semiHidden/>
    <w:unhideWhenUsed/>
    <w:rsid w:val="00AF0114"/>
    <w:rPr>
      <w:b/>
      <w:bCs/>
    </w:rPr>
  </w:style>
  <w:style w:type="character" w:customStyle="1" w:styleId="CommentSubjectChar">
    <w:name w:val="Comment Subject Char"/>
    <w:basedOn w:val="CommentTextChar"/>
    <w:link w:val="CommentSubject"/>
    <w:uiPriority w:val="99"/>
    <w:semiHidden/>
    <w:rsid w:val="00AF011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9.png"/><Relationship Id="rId18" Type="http://schemas.openxmlformats.org/officeDocument/2006/relationships/image" Target="media/image6.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5.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www.ncei.noa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ac.ciesin.columbia.edu/data/set/sdei-high-res-daily-uhe-1983-2016"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oi.org/10.7927/hff0-k56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crwBWybrOmbFFWrTAcrEZNqZOw==">AMUW2mWO8ufqF9bcqXhhQp4rV9J/cGpxtVwEhQM6zZN32t38a9ERn6fMqKDdKQOGoUEXZWNP2iL+/UoZ7f9GimOCMf9Zdp1aeWyxMUsuz82TPVqQ0CNw63o+VTofNylQz6JaR6ZEeNlBz4k6p5VrccRgebxAQkyciGXmEJaV1hIcL+F2asE4CMfdy4EczurIyYvQB7MDC+HBAlNPjA7oQYXs+2oeX2n5Op9yb3r6SIgeE7BjOBE9XIUuL3YABDL2lex+V49EcN4OeKjdjkjtt1lEXPjV10YZVDdM3G9r+mpDHY+ggvLQU0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774b8e-5d8b-45a1-9029-94bc96bb87c7">
      <Terms xmlns="http://schemas.microsoft.com/office/infopath/2007/PartnerControls"/>
    </lcf76f155ced4ddcb4097134ff3c332f>
    <TaxCatchAll xmlns="f625a38b-562f-4b5d-9732-205a126b30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2AF3008298954B9CEB56A8CECF8DD5" ma:contentTypeVersion="14" ma:contentTypeDescription="Create a new document." ma:contentTypeScope="" ma:versionID="4d4bcec0696b31c6c7a3a1b8a8c73e79">
  <xsd:schema xmlns:xsd="http://www.w3.org/2001/XMLSchema" xmlns:xs="http://www.w3.org/2001/XMLSchema" xmlns:p="http://schemas.microsoft.com/office/2006/metadata/properties" xmlns:ns2="42774b8e-5d8b-45a1-9029-94bc96bb87c7" xmlns:ns3="f625a38b-562f-4b5d-9732-205a126b301d" targetNamespace="http://schemas.microsoft.com/office/2006/metadata/properties" ma:root="true" ma:fieldsID="e49616e63ed953992b9f217866358962" ns2:_="" ns3:_="">
    <xsd:import namespace="42774b8e-5d8b-45a1-9029-94bc96bb87c7"/>
    <xsd:import namespace="f625a38b-562f-4b5d-9732-205a126b3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4b8e-5d8b-45a1-9029-94bc96bb8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0885467-fdf6-42e8-a23e-67efc3f39a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25a38b-562f-4b5d-9732-205a126b30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2aca0b2-ab5d-46d2-bbcf-e1653874bd08}" ma:internalName="TaxCatchAll" ma:showField="CatchAllData" ma:web="f625a38b-562f-4b5d-9732-205a126b3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C7380E-B3E2-4DD9-841F-A5F85AD09BAD}">
  <ds:schemaRefs>
    <ds:schemaRef ds:uri="http://schemas.microsoft.com/office/2006/metadata/properties"/>
    <ds:schemaRef ds:uri="http://schemas.microsoft.com/office/infopath/2007/PartnerControls"/>
    <ds:schemaRef ds:uri="42774b8e-5d8b-45a1-9029-94bc96bb87c7"/>
    <ds:schemaRef ds:uri="f625a38b-562f-4b5d-9732-205a126b301d"/>
  </ds:schemaRefs>
</ds:datastoreItem>
</file>

<file path=customXml/itemProps3.xml><?xml version="1.0" encoding="utf-8"?>
<ds:datastoreItem xmlns:ds="http://schemas.openxmlformats.org/officeDocument/2006/customXml" ds:itemID="{38209FCD-51A2-491B-AB5A-4DA786EF1EF8}">
  <ds:schemaRefs>
    <ds:schemaRef ds:uri="http://schemas.microsoft.com/sharepoint/v3/contenttype/forms"/>
  </ds:schemaRefs>
</ds:datastoreItem>
</file>

<file path=customXml/itemProps4.xml><?xml version="1.0" encoding="utf-8"?>
<ds:datastoreItem xmlns:ds="http://schemas.openxmlformats.org/officeDocument/2006/customXml" ds:itemID="{613389AF-43B7-435D-90CB-A039CB699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74b8e-5d8b-45a1-9029-94bc96bb87c7"/>
    <ds:schemaRef ds:uri="f625a38b-562f-4b5d-9732-205a126b3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3307</Words>
  <Characters>18851</Characters>
  <Application>Microsoft Office Word</Application>
  <DocSecurity>0</DocSecurity>
  <Lines>157</Lines>
  <Paragraphs>44</Paragraphs>
  <ScaleCrop>false</ScaleCrop>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Pereira Marghidan, M. (Carolina, Student M-SE)</dc:creator>
  <cp:lastModifiedBy>Aynur Kadihasanoglu</cp:lastModifiedBy>
  <cp:revision>2</cp:revision>
  <dcterms:created xsi:type="dcterms:W3CDTF">2023-02-16T13:53:00Z</dcterms:created>
  <dcterms:modified xsi:type="dcterms:W3CDTF">2023-04-10T08:52:00Z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http://www.zotero.org/styles/african-online-scientific-information-systems-harvard</vt:lpwstr>
  </property>
  <property fmtid="{D5CDD505-2E9C-101B-9397-08002B2CF9AE}" pid="3" name="Mendeley Recent Style Name 0_1">
    <vt:lpwstr>African Online Scientific Information Systems - Harvard</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http://www.zotero.org/styles/copernicus-publications</vt:lpwstr>
  </property>
  <property fmtid="{D5CDD505-2E9C-101B-9397-08002B2CF9AE}" pid="11" name="Mendeley Recent Style Name 4_1">
    <vt:lpwstr>Copernicus Publications</vt:lpwstr>
  </property>
  <property fmtid="{D5CDD505-2E9C-101B-9397-08002B2CF9AE}" pid="12" name="Mendeley Recent Style Id 5_1">
    <vt:lpwstr>http://csl.mendeley.com/styles/538298341/copernicus-publications</vt:lpwstr>
  </property>
  <property fmtid="{D5CDD505-2E9C-101B-9397-08002B2CF9AE}" pid="13" name="Mendeley Recent Style Name 5_1">
    <vt:lpwstr>Copernicus Publications - Carolina Marghidan</vt:lpwstr>
  </property>
  <property fmtid="{D5CDD505-2E9C-101B-9397-08002B2CF9AE}" pid="14" name="Mendeley Recent Style Id 6_1">
    <vt:lpwstr>https://csl.mendeley.com/styles/538298341/copernicus-publications</vt:lpwstr>
  </property>
  <property fmtid="{D5CDD505-2E9C-101B-9397-08002B2CF9AE}" pid="15" name="Mendeley Recent Style Name 6_1">
    <vt:lpwstr>Copernicus Publications - Carolina Marghidan</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1d5ee766-bdfa-36ef-8fcc-548d302bff25</vt:lpwstr>
  </property>
  <property fmtid="{D5CDD505-2E9C-101B-9397-08002B2CF9AE}" pid="24" name="Mendeley Citation Style_1">
    <vt:lpwstr>http://www.zotero.org/styles/ieee</vt:lpwstr>
  </property>
  <property fmtid="{D5CDD505-2E9C-101B-9397-08002B2CF9AE}" pid="25" name="ContentTypeId">
    <vt:lpwstr>0x0101008D2AF3008298954B9CEB56A8CECF8DD5</vt:lpwstr>
  </property>
</Properties>
</file>