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0,0l0,21600,21600,21600,21600,0xe">
            <v:stroke joinstyle="miter"/>
            <v:path o:connecttype="rect" gradientshapeok="t"/>
          </v:shapetype>
        </w:pict>
      </w:r>
    </w:p>
    <w:p w:rsidR="00000000" w:rsidDel="00000000" w:rsidP="00000000" w:rsidRDefault="00000000" w:rsidRPr="00000000" w14:paraId="00000002">
      <w:pPr>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pStyle w:val="Title"/>
        <w:pBdr>
          <w:bottom w:color="00a0dc" w:space="1" w:sz="24" w:val="single"/>
        </w:pBdr>
        <w:tabs>
          <w:tab w:val="left" w:leader="none" w:pos="1908"/>
          <w:tab w:val="center" w:leader="none" w:pos="4513"/>
        </w:tabs>
        <w:jc w:val="center"/>
        <w:rPr>
          <w:sz w:val="52"/>
          <w:szCs w:val="52"/>
        </w:rPr>
      </w:pPr>
      <w:r w:rsidDel="00000000" w:rsidR="00000000" w:rsidRPr="00000000">
        <w:rPr>
          <w:sz w:val="24"/>
          <w:szCs w:val="24"/>
        </w:rPr>
        <mc:AlternateContent>
          <mc:Choice Requires="wpg">
            <w:drawing>
              <wp:anchor allowOverlap="1" behindDoc="0" distB="0" distT="0" distL="114300" distR="114300" hidden="0" layoutInCell="1" locked="0" relativeHeight="0" simplePos="0">
                <wp:simplePos x="0" y="0"/>
                <wp:positionH relativeFrom="margin">
                  <wp:posOffset>3614738</wp:posOffset>
                </wp:positionH>
                <wp:positionV relativeFrom="page">
                  <wp:posOffset>2100263</wp:posOffset>
                </wp:positionV>
                <wp:extent cx="2182495" cy="4019550"/>
                <wp:effectExtent b="0" l="0" r="0" t="0"/>
                <wp:wrapSquare wrapText="bothSides" distB="0" distT="0" distL="114300" distR="114300"/>
                <wp:docPr id="13" name=""/>
                <a:graphic>
                  <a:graphicData uri="http://schemas.microsoft.com/office/word/2010/wordprocessingShape">
                    <wps:wsp>
                      <wps:cNvSpPr/>
                      <wps:cNvPr id="3" name="Shape 3"/>
                      <wps:spPr>
                        <a:xfrm>
                          <a:off x="4269040" y="1784513"/>
                          <a:ext cx="2153920" cy="3990975"/>
                        </a:xfrm>
                        <a:custGeom>
                          <a:rect b="b" l="l" r="r" t="t"/>
                          <a:pathLst>
                            <a:path extrusionOk="0" h="3990975" w="2153920">
                              <a:moveTo>
                                <a:pt x="358994" y="0"/>
                              </a:moveTo>
                              <a:lnTo>
                                <a:pt x="2153920" y="0"/>
                              </a:lnTo>
                              <a:lnTo>
                                <a:pt x="2153920" y="0"/>
                              </a:lnTo>
                              <a:lnTo>
                                <a:pt x="2153920" y="3631981"/>
                              </a:lnTo>
                              <a:cubicBezTo>
                                <a:pt x="2153920" y="3830248"/>
                                <a:pt x="1993193" y="3990975"/>
                                <a:pt x="1794926" y="3990975"/>
                              </a:cubicBezTo>
                              <a:lnTo>
                                <a:pt x="0" y="3990975"/>
                              </a:lnTo>
                              <a:lnTo>
                                <a:pt x="0" y="3990975"/>
                              </a:lnTo>
                              <a:lnTo>
                                <a:pt x="0" y="358994"/>
                              </a:lnTo>
                              <a:cubicBezTo>
                                <a:pt x="0" y="160727"/>
                                <a:pt x="160727" y="0"/>
                                <a:pt x="358994" y="0"/>
                              </a:cubicBezTo>
                              <a:close/>
                            </a:path>
                          </a:pathLst>
                        </a:custGeom>
                        <a:solidFill>
                          <a:srgbClr val="FFFFFF"/>
                        </a:solidFill>
                        <a:ln cap="flat" cmpd="sng" w="28575">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720"/>
                              <w:jc w:val="left"/>
                              <w:textDirection w:val="btLr"/>
                            </w:pPr>
                          </w:p>
                          <w:p w:rsidR="00000000" w:rsidDel="00000000" w:rsidP="00000000" w:rsidRDefault="00000000" w:rsidRPr="00000000">
                            <w:pPr>
                              <w:spacing w:after="0" w:before="0" w:line="240"/>
                              <w:ind w:left="0" w:right="0" w:firstLine="72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Comptez plusieurs jours pour remplir la fiche, car elle conjugue la collecte de données secondaires et les informations obtenues par le biais de l’EVC.</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20"/>
                                <w:vertAlign w:val="baseline"/>
                              </w:rPr>
                              <w:t xml:space="preserve">Caractéristiques de la résilience couvertes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20"/>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p>
                        </w:txbxContent>
                      </wps:txbx>
                      <wps:bodyPr anchorCtr="0" anchor="t" bIns="45700" lIns="114300" spcFirstLastPara="1" rIns="114300"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3614738</wp:posOffset>
                </wp:positionH>
                <wp:positionV relativeFrom="page">
                  <wp:posOffset>2100263</wp:posOffset>
                </wp:positionV>
                <wp:extent cx="2182495" cy="4019550"/>
                <wp:effectExtent b="0" l="0" r="0" t="0"/>
                <wp:wrapSquare wrapText="bothSides" distB="0" distT="0" distL="114300" distR="114300"/>
                <wp:docPr id="13"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2182495" cy="4019550"/>
                        </a:xfrm>
                        <a:prstGeom prst="rect"/>
                        <a:ln/>
                      </pic:spPr>
                    </pic:pic>
                  </a:graphicData>
                </a:graphic>
              </wp:anchor>
            </w:drawing>
          </mc:Fallback>
        </mc:AlternateContent>
      </w:r>
      <w:r w:rsidDel="00000000" w:rsidR="00000000" w:rsidRPr="00000000">
        <w:rPr>
          <w:color w:val="00a0dc"/>
          <w:rtl w:val="0"/>
        </w:rPr>
        <w:t xml:space="preserve">Fiche de référence sur la communauté</w:t>
      </w:r>
      <w:r w:rsidDel="00000000" w:rsidR="00000000" w:rsidRPr="00000000">
        <w:rPr>
          <w:color w:val="00a0dc"/>
          <w:sz w:val="44"/>
          <w:szCs w:val="44"/>
          <w:vertAlign w:val="superscript"/>
        </w:rPr>
        <w:footnoteReference w:customMarkFollows="0" w:id="0"/>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838200</wp:posOffset>
                </wp:positionV>
                <wp:extent cx="2967038" cy="5127175"/>
                <wp:effectExtent b="0" l="0" r="0" t="0"/>
                <wp:wrapSquare wrapText="bothSides" distB="0" distT="0" distL="114300" distR="114300"/>
                <wp:docPr id="12" name=""/>
                <a:graphic>
                  <a:graphicData uri="http://schemas.microsoft.com/office/word/2010/wordprocessingShape">
                    <wps:wsp>
                      <wps:cNvSpPr/>
                      <wps:cNvPr id="2" name="Shape 2"/>
                      <wps:spPr>
                        <a:xfrm>
                          <a:off x="3675950" y="1327313"/>
                          <a:ext cx="3340100" cy="4905375"/>
                        </a:xfrm>
                        <a:custGeom>
                          <a:rect b="b" l="l" r="r" t="t"/>
                          <a:pathLst>
                            <a:path extrusionOk="0" h="4905375" w="3340100">
                              <a:moveTo>
                                <a:pt x="0" y="0"/>
                              </a:moveTo>
                              <a:lnTo>
                                <a:pt x="0" y="4905375"/>
                              </a:lnTo>
                              <a:lnTo>
                                <a:pt x="3340100" y="4905375"/>
                              </a:lnTo>
                              <a:lnTo>
                                <a:pt x="3340100" y="0"/>
                              </a:lnTo>
                              <a:close/>
                            </a:path>
                          </a:pathLst>
                        </a:custGeom>
                        <a:solidFill>
                          <a:srgbClr val="FFFFFF"/>
                        </a:solidFill>
                        <a:ln>
                          <a:noFill/>
                        </a:ln>
                      </wps:spPr>
                      <wps:txbx>
                        <w:txbxContent>
                          <w:p w:rsidR="00000000" w:rsidDel="00000000" w:rsidP="00000000" w:rsidRDefault="00000000" w:rsidRPr="00000000">
                            <w:pPr>
                              <w:spacing w:after="120" w:before="24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3246"/>
                                <w:sz w:val="32"/>
                                <w:vertAlign w:val="baseline"/>
                              </w:rPr>
                              <w:t xml:space="preserve">De quoi s’agit-il ?</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3246"/>
                                <w:sz w:val="32"/>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La Fiche de référence sur la communauté donne une vue d’ensemble des capacités et des moyens disponibles dans une communauté au début du processus d’évaluation. Elle fournit des informations de fond et un contexte. Il importe de combiner les informations génériques sur la communauté avec les données sur les caractéristiques de la résilience pour obtenir un état des lieux utile. Une grande partie des informations demandées est aisément accessible auprès de sources secondaires, mais d’autres devront éventuellement être obtenues par le biais du processus d’EVC, notamment des entretiens. Dans la mesure du possible, ventilez les données collectées par sexe. Des données plus détaillées pourront éventuellement être recueillies ultérieurement, au moyen des outils de mesure de la résilience ou des évaluations sectorielles approfondies (voir </w:t>
                            </w:r>
                            <w:r w:rsidDel="00000000" w:rsidR="00000000" w:rsidRPr="00000000">
                              <w:rPr>
                                <w:rFonts w:ascii="Calibri" w:cs="Calibri" w:eastAsia="Calibri" w:hAnsi="Calibri"/>
                                <w:b w:val="0"/>
                                <w:i w:val="0"/>
                                <w:smallCaps w:val="0"/>
                                <w:strike w:val="0"/>
                                <w:color w:val="000000"/>
                                <w:sz w:val="24"/>
                                <w:highlight w:val="yellow"/>
                                <w:vertAlign w:val="baseline"/>
                              </w:rPr>
                              <w:t xml:space="preserve">Feuille de route pour la résilience</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Cet outil est en lien avec : </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Les étapes 2.6 et 4.2 de l’EVCA </w:t>
                            </w:r>
                          </w:p>
                          <w:p w:rsidR="00000000" w:rsidDel="00000000" w:rsidP="00000000" w:rsidRDefault="00000000" w:rsidRPr="00000000">
                            <w:pPr>
                              <w:spacing w:after="0" w:before="0" w:line="275.9999942779541"/>
                              <w:ind w:left="0" w:right="0" w:firstLine="0"/>
                              <w:jc w:val="both"/>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L’étape 5 de la phase 1 de la Feuille de route pour la résilience</w:t>
                            </w:r>
                          </w:p>
                        </w:txbxContent>
                      </wps:txbx>
                      <wps:bodyPr anchorCtr="0" anchor="t" bIns="45700" lIns="114300" spcFirstLastPara="1" rIns="114300"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838200</wp:posOffset>
                </wp:positionV>
                <wp:extent cx="2967038" cy="5127175"/>
                <wp:effectExtent b="0" l="0" r="0" t="0"/>
                <wp:wrapSquare wrapText="bothSides" distB="0" distT="0" distL="114300" distR="114300"/>
                <wp:docPr id="1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967038" cy="51271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3705225</wp:posOffset>
            </wp:positionH>
            <wp:positionV relativeFrom="paragraph">
              <wp:posOffset>2531110</wp:posOffset>
            </wp:positionV>
            <wp:extent cx="2005330" cy="2226257"/>
            <wp:effectExtent b="0" l="0" r="0" t="0"/>
            <wp:wrapNone/>
            <wp:docPr descr="D:\Users\Lucia.Roblesdios\Dropbox\Tools\1. Community factsheet\Dashboard 1 (6).png" id="17" name="image1.png"/>
            <a:graphic>
              <a:graphicData uri="http://schemas.openxmlformats.org/drawingml/2006/picture">
                <pic:pic>
                  <pic:nvPicPr>
                    <pic:cNvPr descr="D:\Users\Lucia.Roblesdios\Dropbox\Tools\1. Community factsheet\Dashboard 1 (6).png" id="0" name="image1.png"/>
                    <pic:cNvPicPr preferRelativeResize="0"/>
                  </pic:nvPicPr>
                  <pic:blipFill>
                    <a:blip r:embed="rId10"/>
                    <a:srcRect b="18536" l="4121" r="19089" t="17561"/>
                    <a:stretch>
                      <a:fillRect/>
                    </a:stretch>
                  </pic:blipFill>
                  <pic:spPr>
                    <a:xfrm>
                      <a:off x="0" y="0"/>
                      <a:ext cx="2005330" cy="2226257"/>
                    </a:xfrm>
                    <a:prstGeom prst="rect"/>
                    <a:ln/>
                  </pic:spPr>
                </pic:pic>
              </a:graphicData>
            </a:graphic>
          </wp:anchor>
        </w:drawing>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1"/>
        <w:rPr>
          <w:sz w:val="32"/>
          <w:szCs w:val="3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3867150</wp:posOffset>
                </wp:positionH>
                <wp:positionV relativeFrom="paragraph">
                  <wp:posOffset>278346</wp:posOffset>
                </wp:positionV>
                <wp:extent cx="265430" cy="265430"/>
                <wp:effectExtent b="0" l="0" r="0" t="0"/>
                <wp:wrapNone/>
                <wp:docPr id="16" name=""/>
                <a:graphic>
                  <a:graphicData uri="http://schemas.microsoft.com/office/word/2010/wordprocessingGroup">
                    <wpg:wgp>
                      <wpg:cNvGrpSpPr/>
                      <wpg:grpSpPr>
                        <a:xfrm>
                          <a:off x="5213275" y="3647275"/>
                          <a:ext cx="265430" cy="265430"/>
                          <a:chOff x="5213275" y="3647275"/>
                          <a:chExt cx="265450" cy="265450"/>
                        </a:xfrm>
                      </wpg:grpSpPr>
                      <wpg:grpSp>
                        <wpg:cNvGrpSpPr/>
                        <wpg:grpSpPr>
                          <a:xfrm>
                            <a:off x="5213285" y="3647285"/>
                            <a:ext cx="265425" cy="265425"/>
                            <a:chOff x="0" y="0"/>
                            <a:chExt cx="265425" cy="265425"/>
                          </a:xfrm>
                        </wpg:grpSpPr>
                        <wps:wsp>
                          <wps:cNvSpPr/>
                          <wps:cNvPr id="7" name="Shape 7"/>
                          <wps:spPr>
                            <a:xfrm>
                              <a:off x="0" y="0"/>
                              <a:ext cx="265425" cy="265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126601" y="85128"/>
                              <a:ext cx="11059" cy="11059"/>
                            </a:xfrm>
                            <a:custGeom>
                              <a:rect b="b" l="l" r="r" t="t"/>
                              <a:pathLst>
                                <a:path extrusionOk="0" h="11059" w="11059">
                                  <a:moveTo>
                                    <a:pt x="11642" y="6113"/>
                                  </a:moveTo>
                                  <a:cubicBezTo>
                                    <a:pt x="11642" y="9166"/>
                                    <a:pt x="9166" y="11642"/>
                                    <a:pt x="6113" y="11642"/>
                                  </a:cubicBezTo>
                                  <a:cubicBezTo>
                                    <a:pt x="3058" y="11642"/>
                                    <a:pt x="583" y="9166"/>
                                    <a:pt x="583" y="6113"/>
                                  </a:cubicBezTo>
                                  <a:cubicBezTo>
                                    <a:pt x="583" y="3058"/>
                                    <a:pt x="3058" y="583"/>
                                    <a:pt x="6113" y="583"/>
                                  </a:cubicBezTo>
                                  <a:cubicBezTo>
                                    <a:pt x="9166" y="583"/>
                                    <a:pt x="11642" y="3058"/>
                                    <a:pt x="11642" y="6113"/>
                                  </a:cubicBezTo>
                                  <a:close/>
                                </a:path>
                              </a:pathLst>
                            </a:custGeom>
                            <a:solidFill>
                              <a:srgbClr val="00A0DC"/>
                            </a:solidFill>
                            <a:ln cap="flat" cmpd="sng" w="9525">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126601" y="195724"/>
                              <a:ext cx="11059" cy="11059"/>
                            </a:xfrm>
                            <a:custGeom>
                              <a:rect b="b" l="l" r="r" t="t"/>
                              <a:pathLst>
                                <a:path extrusionOk="0" h="11059" w="11059">
                                  <a:moveTo>
                                    <a:pt x="11642" y="6113"/>
                                  </a:moveTo>
                                  <a:cubicBezTo>
                                    <a:pt x="11642" y="9166"/>
                                    <a:pt x="9166" y="11642"/>
                                    <a:pt x="6113" y="11642"/>
                                  </a:cubicBezTo>
                                  <a:cubicBezTo>
                                    <a:pt x="3058" y="11642"/>
                                    <a:pt x="583" y="9166"/>
                                    <a:pt x="583" y="6113"/>
                                  </a:cubicBezTo>
                                  <a:cubicBezTo>
                                    <a:pt x="583" y="3058"/>
                                    <a:pt x="3058" y="583"/>
                                    <a:pt x="6113" y="583"/>
                                  </a:cubicBezTo>
                                  <a:cubicBezTo>
                                    <a:pt x="9166" y="583"/>
                                    <a:pt x="11642" y="3058"/>
                                    <a:pt x="11642" y="6113"/>
                                  </a:cubicBezTo>
                                  <a:close/>
                                </a:path>
                              </a:pathLst>
                            </a:custGeom>
                            <a:solidFill>
                              <a:srgbClr val="00A0DC"/>
                            </a:solidFill>
                            <a:ln cap="flat" cmpd="sng" w="9525">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181900" y="137661"/>
                              <a:ext cx="11059" cy="11059"/>
                            </a:xfrm>
                            <a:custGeom>
                              <a:rect b="b" l="l" r="r" t="t"/>
                              <a:pathLst>
                                <a:path extrusionOk="0" h="11059" w="11059">
                                  <a:moveTo>
                                    <a:pt x="11642" y="6113"/>
                                  </a:moveTo>
                                  <a:cubicBezTo>
                                    <a:pt x="11642" y="9166"/>
                                    <a:pt x="9166" y="11642"/>
                                    <a:pt x="6113" y="11642"/>
                                  </a:cubicBezTo>
                                  <a:cubicBezTo>
                                    <a:pt x="3058" y="11642"/>
                                    <a:pt x="583" y="9166"/>
                                    <a:pt x="583" y="6113"/>
                                  </a:cubicBezTo>
                                  <a:cubicBezTo>
                                    <a:pt x="583" y="3058"/>
                                    <a:pt x="3058" y="583"/>
                                    <a:pt x="6113" y="583"/>
                                  </a:cubicBezTo>
                                  <a:cubicBezTo>
                                    <a:pt x="9166" y="583"/>
                                    <a:pt x="11642" y="3058"/>
                                    <a:pt x="11642" y="6113"/>
                                  </a:cubicBezTo>
                                  <a:close/>
                                </a:path>
                              </a:pathLst>
                            </a:custGeom>
                            <a:solidFill>
                              <a:srgbClr val="00A0DC"/>
                            </a:solidFill>
                            <a:ln cap="flat" cmpd="sng" w="9525">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71303" y="137661"/>
                              <a:ext cx="11059" cy="11059"/>
                            </a:xfrm>
                            <a:custGeom>
                              <a:rect b="b" l="l" r="r" t="t"/>
                              <a:pathLst>
                                <a:path extrusionOk="0" h="11059" w="11059">
                                  <a:moveTo>
                                    <a:pt x="11642" y="6113"/>
                                  </a:moveTo>
                                  <a:cubicBezTo>
                                    <a:pt x="11642" y="9166"/>
                                    <a:pt x="9166" y="11642"/>
                                    <a:pt x="6113" y="11642"/>
                                  </a:cubicBezTo>
                                  <a:cubicBezTo>
                                    <a:pt x="3058" y="11642"/>
                                    <a:pt x="583" y="9166"/>
                                    <a:pt x="583" y="6113"/>
                                  </a:cubicBezTo>
                                  <a:cubicBezTo>
                                    <a:pt x="583" y="3058"/>
                                    <a:pt x="3058" y="583"/>
                                    <a:pt x="6113" y="583"/>
                                  </a:cubicBezTo>
                                  <a:cubicBezTo>
                                    <a:pt x="9166" y="583"/>
                                    <a:pt x="11642" y="3058"/>
                                    <a:pt x="11642" y="6113"/>
                                  </a:cubicBezTo>
                                  <a:close/>
                                </a:path>
                              </a:pathLst>
                            </a:custGeom>
                            <a:solidFill>
                              <a:srgbClr val="00A0DC"/>
                            </a:solidFill>
                            <a:ln cap="flat" cmpd="sng" w="9525">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126601" y="104482"/>
                              <a:ext cx="35943" cy="69122"/>
                            </a:xfrm>
                            <a:custGeom>
                              <a:rect b="b" l="l" r="r" t="t"/>
                              <a:pathLst>
                                <a:path extrusionOk="0" h="69122" w="35943">
                                  <a:moveTo>
                                    <a:pt x="11642" y="583"/>
                                  </a:moveTo>
                                  <a:lnTo>
                                    <a:pt x="583" y="583"/>
                                  </a:lnTo>
                                  <a:lnTo>
                                    <a:pt x="583" y="39291"/>
                                  </a:lnTo>
                                  <a:cubicBezTo>
                                    <a:pt x="583" y="40673"/>
                                    <a:pt x="1136" y="42056"/>
                                    <a:pt x="2242" y="43162"/>
                                  </a:cubicBezTo>
                                  <a:lnTo>
                                    <a:pt x="29614" y="70534"/>
                                  </a:lnTo>
                                  <a:lnTo>
                                    <a:pt x="37355" y="62793"/>
                                  </a:lnTo>
                                  <a:lnTo>
                                    <a:pt x="11642" y="37079"/>
                                  </a:lnTo>
                                  <a:lnTo>
                                    <a:pt x="11642" y="583"/>
                                  </a:lnTo>
                                  <a:close/>
                                </a:path>
                              </a:pathLst>
                            </a:custGeom>
                            <a:solidFill>
                              <a:srgbClr val="00A0DC"/>
                            </a:solidFill>
                            <a:ln cap="flat" cmpd="sng" w="9525">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38209" y="24300"/>
                              <a:ext cx="188013" cy="215662"/>
                            </a:xfrm>
                            <a:custGeom>
                              <a:rect b="b" l="l" r="r" t="t"/>
                              <a:pathLst>
                                <a:path extrusionOk="0" h="215662" w="188013">
                                  <a:moveTo>
                                    <a:pt x="94505" y="199656"/>
                                  </a:moveTo>
                                  <a:cubicBezTo>
                                    <a:pt x="51649" y="199656"/>
                                    <a:pt x="17088" y="165094"/>
                                    <a:pt x="17088" y="122238"/>
                                  </a:cubicBezTo>
                                  <a:cubicBezTo>
                                    <a:pt x="17088" y="79383"/>
                                    <a:pt x="51649" y="44821"/>
                                    <a:pt x="94505" y="44821"/>
                                  </a:cubicBezTo>
                                  <a:cubicBezTo>
                                    <a:pt x="137361" y="44821"/>
                                    <a:pt x="171922" y="79383"/>
                                    <a:pt x="171922" y="122238"/>
                                  </a:cubicBezTo>
                                  <a:cubicBezTo>
                                    <a:pt x="171922" y="165094"/>
                                    <a:pt x="137361" y="199656"/>
                                    <a:pt x="94505" y="199656"/>
                                  </a:cubicBezTo>
                                  <a:lnTo>
                                    <a:pt x="94505" y="199656"/>
                                  </a:lnTo>
                                  <a:close/>
                                  <a:moveTo>
                                    <a:pt x="160034" y="54775"/>
                                  </a:moveTo>
                                  <a:lnTo>
                                    <a:pt x="168328" y="46480"/>
                                  </a:lnTo>
                                  <a:cubicBezTo>
                                    <a:pt x="171370" y="43162"/>
                                    <a:pt x="171370" y="38185"/>
                                    <a:pt x="168051" y="34868"/>
                                  </a:cubicBezTo>
                                  <a:cubicBezTo>
                                    <a:pt x="165011" y="31826"/>
                                    <a:pt x="159757" y="31550"/>
                                    <a:pt x="156439" y="34591"/>
                                  </a:cubicBezTo>
                                  <a:lnTo>
                                    <a:pt x="147039" y="44269"/>
                                  </a:lnTo>
                                  <a:cubicBezTo>
                                    <a:pt x="133767" y="35421"/>
                                    <a:pt x="118560" y="29891"/>
                                    <a:pt x="102800" y="28785"/>
                                  </a:cubicBezTo>
                                  <a:lnTo>
                                    <a:pt x="102800" y="17172"/>
                                  </a:lnTo>
                                  <a:lnTo>
                                    <a:pt x="127684" y="17172"/>
                                  </a:lnTo>
                                  <a:lnTo>
                                    <a:pt x="127684" y="583"/>
                                  </a:lnTo>
                                  <a:lnTo>
                                    <a:pt x="61326" y="583"/>
                                  </a:lnTo>
                                  <a:lnTo>
                                    <a:pt x="61326" y="17172"/>
                                  </a:lnTo>
                                  <a:lnTo>
                                    <a:pt x="86211" y="17172"/>
                                  </a:lnTo>
                                  <a:lnTo>
                                    <a:pt x="86211" y="28508"/>
                                  </a:lnTo>
                                  <a:cubicBezTo>
                                    <a:pt x="42248" y="32379"/>
                                    <a:pt x="6857" y="66387"/>
                                    <a:pt x="1327" y="110350"/>
                                  </a:cubicBezTo>
                                  <a:cubicBezTo>
                                    <a:pt x="-4201" y="154312"/>
                                    <a:pt x="21512" y="196061"/>
                                    <a:pt x="63262" y="210715"/>
                                  </a:cubicBezTo>
                                  <a:cubicBezTo>
                                    <a:pt x="105012" y="225370"/>
                                    <a:pt x="151185" y="209332"/>
                                    <a:pt x="174687" y="171730"/>
                                  </a:cubicBezTo>
                                  <a:cubicBezTo>
                                    <a:pt x="198189" y="134128"/>
                                    <a:pt x="191554" y="85465"/>
                                    <a:pt x="160034" y="54775"/>
                                  </a:cubicBezTo>
                                  <a:lnTo>
                                    <a:pt x="160034" y="54775"/>
                                  </a:lnTo>
                                  <a:close/>
                                </a:path>
                              </a:pathLst>
                            </a:custGeom>
                            <a:solidFill>
                              <a:srgbClr val="00A0DC"/>
                            </a:solidFill>
                            <a:ln cap="flat" cmpd="sng" w="9525">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3867150</wp:posOffset>
                </wp:positionH>
                <wp:positionV relativeFrom="paragraph">
                  <wp:posOffset>278346</wp:posOffset>
                </wp:positionV>
                <wp:extent cx="265430" cy="265430"/>
                <wp:effectExtent b="0" l="0" r="0" t="0"/>
                <wp:wrapNone/>
                <wp:docPr id="16"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265430" cy="265430"/>
                        </a:xfrm>
                        <a:prstGeom prst="rect"/>
                        <a:ln/>
                      </pic:spPr>
                    </pic:pic>
                  </a:graphicData>
                </a:graphic>
              </wp:anchor>
            </w:drawing>
          </mc:Fallback>
        </mc:AlternateContent>
      </w:r>
    </w:p>
    <w:p w:rsidR="00000000" w:rsidDel="00000000" w:rsidP="00000000" w:rsidRDefault="00000000" w:rsidRPr="00000000" w14:paraId="00000006">
      <w:pPr>
        <w:pStyle w:val="Heading1"/>
        <w:rPr>
          <w:sz w:val="32"/>
          <w:szCs w:val="32"/>
        </w:rPr>
      </w:pPr>
      <w:r w:rsidDel="00000000" w:rsidR="00000000" w:rsidRPr="00000000">
        <w:rPr>
          <w:rtl w:val="0"/>
        </w:rPr>
      </w:r>
    </w:p>
    <w:p w:rsidR="00000000" w:rsidDel="00000000" w:rsidP="00000000" w:rsidRDefault="00000000" w:rsidRPr="00000000" w14:paraId="00000007">
      <w:pPr>
        <w:pStyle w:val="Heading1"/>
        <w:rPr>
          <w:sz w:val="32"/>
          <w:szCs w:val="32"/>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1"/>
        <w:rPr>
          <w:sz w:val="32"/>
          <w:szCs w:val="32"/>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4362450</wp:posOffset>
                </wp:positionH>
                <wp:positionV relativeFrom="paragraph">
                  <wp:posOffset>1962150</wp:posOffset>
                </wp:positionV>
                <wp:extent cx="1181100" cy="1408336"/>
                <wp:effectExtent b="0" l="0" r="0" t="0"/>
                <wp:wrapNone/>
                <wp:docPr id="14" name=""/>
                <a:graphic>
                  <a:graphicData uri="http://schemas.microsoft.com/office/word/2010/wordprocessingShape">
                    <wps:wsp>
                      <wps:cNvSpPr/>
                      <wps:cNvPr id="4" name="Shape 4"/>
                      <wps:spPr>
                        <a:xfrm>
                          <a:off x="4763070" y="2916083"/>
                          <a:ext cx="1165860" cy="1727835"/>
                        </a:xfrm>
                        <a:prstGeom prst="wedgeRectCallout">
                          <a:avLst>
                            <a:gd fmla="val -128626" name="adj1"/>
                            <a:gd fmla="val -31662" name="adj2"/>
                          </a:avLst>
                        </a:prstGeom>
                        <a:solidFill>
                          <a:srgbClr val="4472C4"/>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t xml:space="preserve">Voir 1ere colonne du tableau à la page 7 dans le document « Problem Tree » pour les traductions de ces termes.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4362450</wp:posOffset>
                </wp:positionH>
                <wp:positionV relativeFrom="paragraph">
                  <wp:posOffset>1962150</wp:posOffset>
                </wp:positionV>
                <wp:extent cx="1181100" cy="1408336"/>
                <wp:effectExtent b="0" l="0" r="0" t="0"/>
                <wp:wrapNone/>
                <wp:docPr id="14"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1181100" cy="1408336"/>
                        </a:xfrm>
                        <a:prstGeom prst="rect"/>
                        <a:ln/>
                      </pic:spPr>
                    </pic:pic>
                  </a:graphicData>
                </a:graphic>
              </wp:anchor>
            </w:drawing>
          </mc:Fallback>
        </mc:AlternateContent>
      </w:r>
    </w:p>
    <w:p w:rsidR="00000000" w:rsidDel="00000000" w:rsidP="00000000" w:rsidRDefault="00000000" w:rsidRPr="00000000" w14:paraId="0000000D">
      <w:pPr>
        <w:pStyle w:val="Heading1"/>
        <w:rPr>
          <w:sz w:val="32"/>
          <w:szCs w:val="32"/>
        </w:rPr>
      </w:pPr>
      <w:r w:rsidDel="00000000" w:rsidR="00000000" w:rsidRPr="00000000">
        <w:rPr>
          <w:sz w:val="32"/>
          <w:szCs w:val="32"/>
          <w:rtl w:val="0"/>
        </w:rPr>
        <w:t xml:space="preserve">Informations de base à recueillir : </w:t>
      </w:r>
    </w:p>
    <w:p w:rsidR="00000000" w:rsidDel="00000000" w:rsidP="00000000" w:rsidRDefault="00000000" w:rsidRPr="00000000" w14:paraId="0000000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Démographie</w:t>
      </w:r>
    </w:p>
    <w:p w:rsidR="00000000" w:rsidDel="00000000" w:rsidP="00000000" w:rsidRDefault="00000000" w:rsidRPr="00000000" w14:paraId="0000000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Topographie </w:t>
      </w:r>
    </w:p>
    <w:p w:rsidR="00000000" w:rsidDel="00000000" w:rsidP="00000000" w:rsidRDefault="00000000" w:rsidRPr="00000000" w14:paraId="0000001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Santé et morbidité</w:t>
      </w:r>
    </w:p>
    <w:p w:rsidR="00000000" w:rsidDel="00000000" w:rsidP="00000000" w:rsidRDefault="00000000" w:rsidRPr="00000000" w14:paraId="0000001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Économie locale (principales professions, niveaux de revenu, activités économiques, industrie, etc.)</w:t>
      </w:r>
    </w:p>
    <w:p w:rsidR="00000000" w:rsidDel="00000000" w:rsidP="00000000" w:rsidRDefault="00000000" w:rsidRPr="00000000" w14:paraId="0000001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Services de base et leur couverture (électricité, eau, assainissement, santé)</w:t>
      </w:r>
    </w:p>
    <w:p w:rsidR="00000000" w:rsidDel="00000000" w:rsidP="00000000" w:rsidRDefault="00000000" w:rsidRPr="00000000" w14:paraId="0000001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Infrastructures de base</w:t>
      </w:r>
    </w:p>
    <w:p w:rsidR="00000000" w:rsidDel="00000000" w:rsidP="00000000" w:rsidRDefault="00000000" w:rsidRPr="00000000" w14:paraId="0000001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Fréquentation scolaire et niveaux d’alphabétisation</w:t>
      </w:r>
    </w:p>
    <w:p w:rsidR="00000000" w:rsidDel="00000000" w:rsidP="00000000" w:rsidRDefault="00000000" w:rsidRPr="00000000" w14:paraId="0000001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Régime d’occupation des terres</w:t>
      </w:r>
    </w:p>
    <w:p w:rsidR="00000000" w:rsidDel="00000000" w:rsidP="00000000" w:rsidRDefault="00000000" w:rsidRPr="00000000" w14:paraId="0000001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Aléas et catastrophes récentes</w:t>
      </w:r>
    </w:p>
    <w:p w:rsidR="00000000" w:rsidDel="00000000" w:rsidP="00000000" w:rsidRDefault="00000000" w:rsidRPr="00000000" w14:paraId="0000001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Structures et affiliations politiques</w:t>
      </w:r>
    </w:p>
    <w:p w:rsidR="00000000" w:rsidDel="00000000" w:rsidP="00000000" w:rsidRDefault="00000000" w:rsidRPr="00000000" w14:paraId="0000001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Organisation intra- et intercommunautaire</w:t>
      </w:r>
    </w:p>
    <w:p w:rsidR="00000000" w:rsidDel="00000000" w:rsidP="00000000" w:rsidRDefault="00000000" w:rsidRPr="00000000" w14:paraId="0000001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Tendances sociales</w:t>
      </w:r>
    </w:p>
    <w:p w:rsidR="00000000" w:rsidDel="00000000" w:rsidP="00000000" w:rsidRDefault="00000000" w:rsidRPr="00000000" w14:paraId="0000001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Profil et causes des conflits, de la violence et de la criminalité</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Exemple de liste de référence pour une fiche détaillée : </w:t>
      </w:r>
    </w:p>
    <w:p w:rsidR="00000000" w:rsidDel="00000000" w:rsidP="00000000" w:rsidRDefault="00000000" w:rsidRPr="00000000" w14:paraId="0000001D">
      <w:pPr>
        <w:pStyle w:val="Heading2"/>
        <w:rPr>
          <w:sz w:val="24"/>
          <w:szCs w:val="24"/>
        </w:rPr>
      </w:pPr>
      <w:r w:rsidDel="00000000" w:rsidR="00000000" w:rsidRPr="00000000">
        <w:rPr>
          <w:sz w:val="24"/>
          <w:szCs w:val="24"/>
          <w:rtl w:val="0"/>
        </w:rPr>
        <w:t xml:space="preserve">Généralités</w:t>
      </w:r>
    </w:p>
    <w:p w:rsidR="00000000" w:rsidDel="00000000" w:rsidP="00000000" w:rsidRDefault="00000000" w:rsidRPr="00000000" w14:paraId="0000001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 de la communauté : </w:t>
      </w:r>
    </w:p>
    <w:p w:rsidR="00000000" w:rsidDel="00000000" w:rsidP="00000000" w:rsidRDefault="00000000" w:rsidRPr="00000000" w14:paraId="0000001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Situation géographique de la communauté : latitude/longitude, élévation au-dessus du niveau de la mer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facultatif</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0">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Province</w:t>
      </w:r>
    </w:p>
    <w:p w:rsidR="00000000" w:rsidDel="00000000" w:rsidP="00000000" w:rsidRDefault="00000000" w:rsidRPr="00000000" w14:paraId="00000021">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District/Département</w:t>
      </w:r>
    </w:p>
    <w:p w:rsidR="00000000" w:rsidDel="00000000" w:rsidP="00000000" w:rsidRDefault="00000000" w:rsidRPr="00000000" w14:paraId="00000022">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Commune</w:t>
      </w:r>
    </w:p>
    <w:p w:rsidR="00000000" w:rsidDel="00000000" w:rsidP="00000000" w:rsidRDefault="00000000" w:rsidRPr="00000000" w14:paraId="0000002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Type de communauté</w:t>
      </w:r>
    </w:p>
    <w:p w:rsidR="00000000" w:rsidDel="00000000" w:rsidP="00000000" w:rsidRDefault="00000000" w:rsidRPr="00000000" w14:paraId="00000024">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Rurale</w:t>
      </w:r>
    </w:p>
    <w:p w:rsidR="00000000" w:rsidDel="00000000" w:rsidP="00000000" w:rsidRDefault="00000000" w:rsidRPr="00000000" w14:paraId="00000025">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Suburbaine (max. 5 km des services urbains)</w:t>
      </w:r>
    </w:p>
    <w:p w:rsidR="00000000" w:rsidDel="00000000" w:rsidP="00000000" w:rsidRDefault="00000000" w:rsidRPr="00000000" w14:paraId="00000026">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Urbaine</w:t>
      </w:r>
    </w:p>
    <w:p w:rsidR="00000000" w:rsidDel="00000000" w:rsidP="00000000" w:rsidRDefault="00000000" w:rsidRPr="00000000" w14:paraId="0000002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Description physique de la communauté </w:t>
      </w:r>
    </w:p>
    <w:p w:rsidR="00000000" w:rsidDel="00000000" w:rsidP="00000000" w:rsidRDefault="00000000" w:rsidRPr="00000000" w14:paraId="00000028">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Site montagneux</w:t>
      </w:r>
    </w:p>
    <w:p w:rsidR="00000000" w:rsidDel="00000000" w:rsidP="00000000" w:rsidRDefault="00000000" w:rsidRPr="00000000" w14:paraId="00000029">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Comprend une plaine inondable, des terrains humides </w:t>
      </w:r>
    </w:p>
    <w:p w:rsidR="00000000" w:rsidDel="00000000" w:rsidP="00000000" w:rsidRDefault="00000000" w:rsidRPr="00000000" w14:paraId="0000002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Site côtier</w:t>
      </w:r>
    </w:p>
    <w:p w:rsidR="00000000" w:rsidDel="00000000" w:rsidP="00000000" w:rsidRDefault="00000000" w:rsidRPr="00000000" w14:paraId="0000002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Terres arides</w:t>
      </w:r>
    </w:p>
    <w:p w:rsidR="00000000" w:rsidDel="00000000" w:rsidP="00000000" w:rsidRDefault="00000000" w:rsidRPr="00000000" w14:paraId="0000002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caractéristiques physiques </w:t>
      </w:r>
    </w:p>
    <w:p w:rsidR="00000000" w:rsidDel="00000000" w:rsidP="00000000" w:rsidRDefault="00000000" w:rsidRPr="00000000" w14:paraId="0000002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Conditions météorologiques ou climatiques particulières, y compris phénomènes extrêmes ou changement climatique observé</w:t>
      </w:r>
    </w:p>
    <w:p w:rsidR="00000000" w:rsidDel="00000000" w:rsidP="00000000" w:rsidRDefault="00000000" w:rsidRPr="00000000" w14:paraId="0000002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Profil démographique de la communauté </w:t>
      </w:r>
    </w:p>
    <w:p w:rsidR="00000000" w:rsidDel="00000000" w:rsidP="00000000" w:rsidRDefault="00000000" w:rsidRPr="00000000" w14:paraId="0000002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Population totale</w:t>
      </w:r>
    </w:p>
    <w:p w:rsidR="00000000" w:rsidDel="00000000" w:rsidP="00000000" w:rsidRDefault="00000000" w:rsidRPr="00000000" w14:paraId="00000030">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 total d’adultes (plus de 20 ans)</w:t>
      </w:r>
    </w:p>
    <w:p w:rsidR="00000000" w:rsidDel="00000000" w:rsidP="00000000" w:rsidRDefault="00000000" w:rsidRPr="00000000" w14:paraId="00000031">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 total de jeunes (de 13 à 20 ans)</w:t>
      </w:r>
    </w:p>
    <w:p w:rsidR="00000000" w:rsidDel="00000000" w:rsidP="00000000" w:rsidRDefault="00000000" w:rsidRPr="00000000" w14:paraId="00000032">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 total d’enfants (de 5 à 13 ans)</w:t>
      </w:r>
    </w:p>
    <w:p w:rsidR="00000000" w:rsidDel="00000000" w:rsidP="00000000" w:rsidRDefault="00000000" w:rsidRPr="00000000" w14:paraId="00000033">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Nourrissons et enfants en bas âge (moins de 5 ans)</w:t>
      </w:r>
    </w:p>
    <w:p w:rsidR="00000000" w:rsidDel="00000000" w:rsidP="00000000" w:rsidRDefault="00000000" w:rsidRPr="00000000" w14:paraId="00000034">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Taille moyenne des familles (nombre de personnes ayant un lien de parenté vivant sous le même toit)</w:t>
      </w:r>
    </w:p>
    <w:p w:rsidR="00000000" w:rsidDel="00000000" w:rsidP="00000000" w:rsidRDefault="00000000" w:rsidRPr="00000000" w14:paraId="00000035">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Composition de la communauté par sexe</w:t>
      </w:r>
    </w:p>
    <w:p w:rsidR="00000000" w:rsidDel="00000000" w:rsidP="00000000" w:rsidRDefault="00000000" w:rsidRPr="00000000" w14:paraId="0000003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Coordonnées des responsables locaux</w:t>
      </w:r>
    </w:p>
    <w:p w:rsidR="00000000" w:rsidDel="00000000" w:rsidP="00000000" w:rsidRDefault="00000000" w:rsidRPr="00000000" w14:paraId="00000037">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 et coordonnées du maire</w:t>
      </w:r>
    </w:p>
    <w:p w:rsidR="00000000" w:rsidDel="00000000" w:rsidP="00000000" w:rsidRDefault="00000000" w:rsidRPr="00000000" w14:paraId="00000038">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Coordonnées de la police</w:t>
      </w:r>
    </w:p>
    <w:p w:rsidR="00000000" w:rsidDel="00000000" w:rsidP="00000000" w:rsidRDefault="00000000" w:rsidRPr="00000000" w14:paraId="00000039">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Coordonnées des pompiers</w:t>
      </w:r>
    </w:p>
    <w:p w:rsidR="00000000" w:rsidDel="00000000" w:rsidP="00000000" w:rsidRDefault="00000000" w:rsidRPr="00000000" w14:paraId="0000003A">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Coordonnées du chef du comité d’urgence</w:t>
      </w:r>
    </w:p>
    <w:p w:rsidR="00000000" w:rsidDel="00000000" w:rsidP="00000000" w:rsidRDefault="00000000" w:rsidRPr="00000000" w14:paraId="0000003B">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Coordonnées de la section Croix-Rouge/Croissant-Rouge</w:t>
      </w:r>
    </w:p>
    <w:p w:rsidR="00000000" w:rsidDel="00000000" w:rsidP="00000000" w:rsidRDefault="00000000" w:rsidRPr="00000000" w14:paraId="0000003C">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notables de la communauté et personnes à contacter</w:t>
      </w:r>
    </w:p>
    <w:p w:rsidR="00000000" w:rsidDel="00000000" w:rsidP="00000000" w:rsidRDefault="00000000" w:rsidRPr="00000000" w14:paraId="0000003D">
      <w:pPr>
        <w:pStyle w:val="Heading2"/>
        <w:rPr>
          <w:sz w:val="24"/>
          <w:szCs w:val="24"/>
        </w:rPr>
      </w:pPr>
      <w:r w:rsidDel="00000000" w:rsidR="00000000" w:rsidRPr="00000000">
        <w:rPr>
          <w:sz w:val="24"/>
          <w:szCs w:val="24"/>
          <w:rtl w:val="0"/>
        </w:rPr>
        <w:t xml:space="preserve">Informations relatives à chaque caractéristique de la résilience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sz w:val="26"/>
          <w:szCs w:val="26"/>
          <w:u w:val="single"/>
        </w:rPr>
      </w:pPr>
      <w:r w:rsidDel="00000000" w:rsidR="00000000" w:rsidRPr="00000000">
        <w:rPr>
          <w:b w:val="1"/>
          <w:sz w:val="26"/>
          <w:szCs w:val="26"/>
          <w:u w:val="single"/>
          <w:rtl w:val="0"/>
        </w:rPr>
        <w:t xml:space="preserve">I. Capacité de la communauté à connaître et à gérer elle-même ses risques</w:t>
      </w:r>
    </w:p>
    <w:p w:rsidR="00000000" w:rsidDel="00000000" w:rsidP="00000000" w:rsidRDefault="00000000" w:rsidRPr="00000000" w14:paraId="00000040">
      <w:pPr>
        <w:rPr>
          <w:b w:val="1"/>
          <w:i w:val="1"/>
          <w:sz w:val="24"/>
          <w:szCs w:val="24"/>
        </w:rPr>
      </w:pPr>
      <w:r w:rsidDel="00000000" w:rsidR="00000000" w:rsidRPr="00000000">
        <w:rPr>
          <w:b w:val="1"/>
          <w:i w:val="1"/>
          <w:sz w:val="24"/>
          <w:szCs w:val="24"/>
          <w:rtl w:val="0"/>
        </w:rPr>
        <w:t xml:space="preserve">Préparation aux urgences</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 plan de préparation et de réponse aux urgences est-il en place ?</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 cas échéant, de quand date-t-il et qui est la principale personne à contacter ?</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communauté a-t-elle des équipes d’intervention communautaires ?</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Quels sont les liens entre la communauté et les autres acteurs en ce qui concerne la préparation aux urgences ? (autorités locales, ONG, organisations communautaires, etc.)</w:t>
      </w:r>
    </w:p>
    <w:p w:rsidR="00000000" w:rsidDel="00000000" w:rsidP="00000000" w:rsidRDefault="00000000" w:rsidRPr="00000000" w14:paraId="00000045">
      <w:pPr>
        <w:rPr>
          <w:b w:val="1"/>
          <w:i w:val="1"/>
          <w:sz w:val="24"/>
          <w:szCs w:val="24"/>
        </w:rPr>
      </w:pPr>
      <w:r w:rsidDel="00000000" w:rsidR="00000000" w:rsidRPr="00000000">
        <w:rPr>
          <w:b w:val="1"/>
          <w:i w:val="1"/>
          <w:sz w:val="24"/>
          <w:szCs w:val="24"/>
          <w:rtl w:val="0"/>
        </w:rPr>
        <w:t xml:space="preserve">Alerte précoce</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 système d’alerte précoce est-il en place ?</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membres de la communauté connaissent-ils ce système et savent-ils ce qu’il signifie ?</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 cas échéant, les membres de la communauté pensent-ils que le système est fiable ?</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 système d’alerte précoce a-t-il fonctionné correctement dans les cinq dernières années ?</w:t>
      </w:r>
    </w:p>
    <w:p w:rsidR="00000000" w:rsidDel="00000000" w:rsidP="00000000" w:rsidRDefault="00000000" w:rsidRPr="00000000" w14:paraId="0000004A">
      <w:pPr>
        <w:rPr>
          <w:b w:val="1"/>
          <w:i w:val="1"/>
          <w:sz w:val="24"/>
          <w:szCs w:val="24"/>
        </w:rPr>
      </w:pPr>
      <w:r w:rsidDel="00000000" w:rsidR="00000000" w:rsidRPr="00000000">
        <w:rPr>
          <w:b w:val="1"/>
          <w:i w:val="1"/>
          <w:sz w:val="24"/>
          <w:szCs w:val="24"/>
          <w:rtl w:val="0"/>
        </w:rPr>
        <w:t xml:space="preserve">Évacuation</w:t>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 procédures d’évacuation sont-elles en place ?</w:t>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communauté connaît-elle ces procédures et les voies d’évacuation ?</w:t>
      </w:r>
    </w:p>
    <w:p w:rsidR="00000000" w:rsidDel="00000000" w:rsidP="00000000" w:rsidRDefault="00000000" w:rsidRPr="00000000" w14:paraId="0000004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communauté reconnaît et respecte-t-elle les personnes chargées d’annoncer une évacuation ?</w:t>
      </w:r>
    </w:p>
    <w:p w:rsidR="00000000" w:rsidDel="00000000" w:rsidP="00000000" w:rsidRDefault="00000000" w:rsidRPr="00000000" w14:paraId="0000004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Ces procédures d’évacuation ont-elles été appliquées avec succès au cours des cinq dernières années ?</w:t>
      </w:r>
    </w:p>
    <w:p w:rsidR="00000000" w:rsidDel="00000000" w:rsidP="00000000" w:rsidRDefault="00000000" w:rsidRPr="00000000" w14:paraId="0000004F">
      <w:pPr>
        <w:rPr>
          <w:b w:val="1"/>
          <w:i w:val="1"/>
          <w:sz w:val="24"/>
          <w:szCs w:val="24"/>
        </w:rPr>
      </w:pPr>
      <w:r w:rsidDel="00000000" w:rsidR="00000000" w:rsidRPr="00000000">
        <w:rPr>
          <w:b w:val="1"/>
          <w:i w:val="1"/>
          <w:sz w:val="24"/>
          <w:szCs w:val="24"/>
          <w:rtl w:val="0"/>
        </w:rPr>
        <w:t xml:space="preserve">Compétences et ressources en matière d’intervention</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Quelles sont les compétences et les ressources de la communauté en matière d’intervention (premiers secours, recherche et sauvetage, santé publique) ?</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membres de la communauté ont-ils participé à des exercices et à des simulations d’intervention d’urgence ou d’évacuation ?</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communauté dispose-t-elle de compétences locales en matière d’estimation des dégâts et des besoins ?</w:t>
      </w:r>
    </w:p>
    <w:p w:rsidR="00000000" w:rsidDel="00000000" w:rsidP="00000000" w:rsidRDefault="00000000" w:rsidRPr="00000000" w14:paraId="00000053">
      <w:pPr>
        <w:rPr>
          <w:b w:val="1"/>
          <w:i w:val="1"/>
          <w:sz w:val="24"/>
          <w:szCs w:val="24"/>
        </w:rPr>
      </w:pPr>
      <w:r w:rsidDel="00000000" w:rsidR="00000000" w:rsidRPr="00000000">
        <w:rPr>
          <w:b w:val="1"/>
          <w:i w:val="1"/>
          <w:sz w:val="24"/>
          <w:szCs w:val="24"/>
          <w:rtl w:val="0"/>
        </w:rPr>
        <w:t xml:space="preserve">Ressources pour l’intervention d’urgence</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communauté dispose-t-elle de réserves de produits de première nécessité ?</w:t>
      </w:r>
    </w:p>
    <w:p w:rsidR="00000000" w:rsidDel="00000000" w:rsidP="00000000" w:rsidRDefault="00000000" w:rsidRPr="00000000" w14:paraId="00000055">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Denrées alimentaires (description)</w:t>
      </w:r>
    </w:p>
    <w:p w:rsidR="00000000" w:rsidDel="00000000" w:rsidP="00000000" w:rsidRDefault="00000000" w:rsidRPr="00000000" w14:paraId="0000005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Couvertures (nombre)</w:t>
      </w:r>
    </w:p>
    <w:p w:rsidR="00000000" w:rsidDel="00000000" w:rsidP="00000000" w:rsidRDefault="00000000" w:rsidRPr="00000000" w14:paraId="0000005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Tentes (nombre, type)</w:t>
      </w:r>
    </w:p>
    <w:p w:rsidR="00000000" w:rsidDel="00000000" w:rsidP="00000000" w:rsidRDefault="00000000" w:rsidRPr="00000000" w14:paraId="00000058">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Brancards (nombre)</w:t>
      </w:r>
    </w:p>
    <w:p w:rsidR="00000000" w:rsidDel="00000000" w:rsidP="00000000" w:rsidRDefault="00000000" w:rsidRPr="00000000" w14:paraId="0000005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Trousses de secours/bandages et pansements (nombre de trousses)</w:t>
      </w:r>
    </w:p>
    <w:p w:rsidR="00000000" w:rsidDel="00000000" w:rsidP="00000000" w:rsidRDefault="00000000" w:rsidRPr="00000000" w14:paraId="0000005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Ambulance</w:t>
      </w:r>
    </w:p>
    <w:p w:rsidR="00000000" w:rsidDel="00000000" w:rsidP="00000000" w:rsidRDefault="00000000" w:rsidRPr="00000000" w14:paraId="0000005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véhicules pouvant être utilisés en cas d’urgence (description)</w:t>
      </w:r>
    </w:p>
    <w:p w:rsidR="00000000" w:rsidDel="00000000" w:rsidP="00000000" w:rsidRDefault="00000000" w:rsidRPr="00000000" w14:paraId="0000005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76" w:lineRule="auto"/>
        <w:ind w:left="180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articles ?</w:t>
      </w:r>
    </w:p>
    <w:p w:rsidR="00000000" w:rsidDel="00000000" w:rsidP="00000000" w:rsidRDefault="00000000" w:rsidRPr="00000000" w14:paraId="0000005D">
      <w:pPr>
        <w:rPr>
          <w:b w:val="1"/>
          <w:i w:val="1"/>
          <w:sz w:val="24"/>
          <w:szCs w:val="24"/>
        </w:rPr>
      </w:pPr>
      <w:r w:rsidDel="00000000" w:rsidR="00000000" w:rsidRPr="00000000">
        <w:rPr>
          <w:b w:val="1"/>
          <w:i w:val="1"/>
          <w:sz w:val="24"/>
          <w:szCs w:val="24"/>
          <w:rtl w:val="0"/>
        </w:rPr>
        <w:t xml:space="preserve">Capacités locales en matière d’intervention et d’atténuation des effets des catastrophes</w:t>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Ressources et capacités physiques et matérielles</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Compétences techniques et ressources humaines présentes dans la communauté</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Capacités sociales et organisationnelles dans la communauté</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i w:val="0"/>
          <w:smallCaps w:val="0"/>
          <w:strike w:val="0"/>
          <w:color w:val="000000"/>
          <w:sz w:val="26"/>
          <w:szCs w:val="26"/>
          <w:u w:val="singl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II. État et installations sanitaires de la communauté </w:t>
      </w:r>
    </w:p>
    <w:p w:rsidR="00000000" w:rsidDel="00000000" w:rsidP="00000000" w:rsidRDefault="00000000" w:rsidRPr="00000000" w14:paraId="00000063">
      <w:pPr>
        <w:spacing w:line="240" w:lineRule="auto"/>
        <w:jc w:val="left"/>
        <w:rPr>
          <w:rFonts w:ascii="Times New Roman" w:cs="Times New Roman" w:eastAsia="Times New Roman" w:hAnsi="Times New Roman"/>
          <w:color w:val="000000"/>
          <w:sz w:val="24"/>
          <w:szCs w:val="24"/>
        </w:rPr>
      </w:pPr>
      <w:r w:rsidDel="00000000" w:rsidR="00000000" w:rsidRPr="00000000">
        <w:rPr>
          <w:rFonts w:ascii="Calibri" w:cs="Calibri" w:eastAsia="Calibri" w:hAnsi="Calibri"/>
          <w:b w:val="1"/>
          <w:sz w:val="24"/>
          <w:szCs w:val="24"/>
          <w:rtl w:val="0"/>
        </w:rPr>
        <w:t xml:space="preserve">État sanitaire et état nutritionnel</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Taux de malnutrition chez les enfants de moins de 5 ans de la communauté </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Taux de mortalité infantile dans la communauté</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Maladies les plus courantes dans l’ensemble de la population (rougeole, VIH/sida, grippe, pneumonie, dengue, choléra, fièvre typhoïde, diarrhée, parasitoses intestinales)</w:t>
      </w: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Maladies les plus courantes chez les jeunes et les enfants (rougeole, pneumonie, paludisme, méningite, diarrhée, parasitoses intestinales)</w:t>
      </w:r>
    </w:p>
    <w:p w:rsidR="00000000" w:rsidDel="00000000" w:rsidP="00000000" w:rsidRDefault="00000000" w:rsidRPr="00000000" w14:paraId="00000068">
      <w:pPr>
        <w:numPr>
          <w:ilvl w:val="0"/>
          <w:numId w:val="5"/>
        </w:numPr>
        <w:spacing w:line="240" w:lineRule="auto"/>
        <w:ind w:left="720" w:hanging="360"/>
        <w:jc w:val="left"/>
        <w:rPr>
          <w:sz w:val="24"/>
          <w:szCs w:val="24"/>
        </w:rPr>
      </w:pPr>
      <w:r w:rsidDel="00000000" w:rsidR="00000000" w:rsidRPr="00000000">
        <w:rPr>
          <w:sz w:val="24"/>
          <w:szCs w:val="24"/>
          <w:rtl w:val="0"/>
        </w:rPr>
        <w:t xml:space="preserve">Preuve de l'existence d'épidémies passées ou récentes</w:t>
      </w:r>
    </w:p>
    <w:p w:rsidR="00000000" w:rsidDel="00000000" w:rsidP="00000000" w:rsidRDefault="00000000" w:rsidRPr="00000000" w14:paraId="00000069">
      <w:pPr>
        <w:numPr>
          <w:ilvl w:val="0"/>
          <w:numId w:val="5"/>
        </w:numPr>
        <w:spacing w:line="240" w:lineRule="auto"/>
        <w:ind w:left="720" w:hanging="360"/>
        <w:jc w:val="left"/>
        <w:rPr>
          <w:sz w:val="24"/>
          <w:szCs w:val="24"/>
        </w:rPr>
      </w:pPr>
      <w:r w:rsidDel="00000000" w:rsidR="00000000" w:rsidRPr="00000000">
        <w:rPr>
          <w:sz w:val="24"/>
          <w:szCs w:val="24"/>
          <w:rtl w:val="0"/>
        </w:rPr>
        <w:t xml:space="preserve">Si oui, quel a été le lieu géographique le plus touché ?</w:t>
      </w:r>
    </w:p>
    <w:p w:rsidR="00000000" w:rsidDel="00000000" w:rsidP="00000000" w:rsidRDefault="00000000" w:rsidRPr="00000000" w14:paraId="0000006A">
      <w:pPr>
        <w:numPr>
          <w:ilvl w:val="0"/>
          <w:numId w:val="5"/>
        </w:numPr>
        <w:spacing w:line="240" w:lineRule="auto"/>
        <w:ind w:left="720" w:hanging="360"/>
        <w:jc w:val="left"/>
        <w:rPr>
          <w:sz w:val="24"/>
          <w:szCs w:val="24"/>
        </w:rPr>
      </w:pPr>
      <w:r w:rsidDel="00000000" w:rsidR="00000000" w:rsidRPr="00000000">
        <w:rPr>
          <w:sz w:val="24"/>
          <w:szCs w:val="24"/>
          <w:rtl w:val="0"/>
        </w:rPr>
        <w:t xml:space="preserve">Combien de personnes ont été touchées ?</w:t>
      </w:r>
    </w:p>
    <w:p w:rsidR="00000000" w:rsidDel="00000000" w:rsidP="00000000" w:rsidRDefault="00000000" w:rsidRPr="00000000" w14:paraId="0000006B">
      <w:pPr>
        <w:numPr>
          <w:ilvl w:val="0"/>
          <w:numId w:val="5"/>
        </w:numPr>
        <w:spacing w:line="240" w:lineRule="auto"/>
        <w:ind w:left="720" w:hanging="360"/>
        <w:jc w:val="left"/>
        <w:rPr>
          <w:sz w:val="24"/>
          <w:szCs w:val="24"/>
        </w:rPr>
      </w:pPr>
      <w:r w:rsidDel="00000000" w:rsidR="00000000" w:rsidRPr="00000000">
        <w:rPr>
          <w:sz w:val="24"/>
          <w:szCs w:val="24"/>
          <w:rtl w:val="0"/>
        </w:rPr>
        <w:t xml:space="preserve">Quelle a été la durée de l'épidémie ?</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Existe-t-il une éducation publique sur les questions sanitaires ?</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Éducation publique à l’intention de _________ sur l’un des sujets suivants : assainissement, maladie, diarrhée, nutrition, soins prénatals, VIH/sida ?</w:t>
      </w:r>
      <w:r w:rsidDel="00000000" w:rsidR="00000000" w:rsidRPr="00000000">
        <w:rPr>
          <w:rtl w:val="0"/>
        </w:rPr>
      </w:r>
    </w:p>
    <w:p w:rsidR="00000000" w:rsidDel="00000000" w:rsidP="00000000" w:rsidRDefault="00000000" w:rsidRPr="00000000" w14:paraId="0000006E">
      <w:pPr>
        <w:spacing w:before="240" w:line="240" w:lineRule="auto"/>
        <w:jc w:val="left"/>
        <w:rPr>
          <w:rFonts w:ascii="Times New Roman" w:cs="Times New Roman" w:eastAsia="Times New Roman" w:hAnsi="Times New Roman"/>
          <w:color w:val="000000"/>
          <w:sz w:val="24"/>
          <w:szCs w:val="24"/>
        </w:rPr>
      </w:pPr>
      <w:r w:rsidDel="00000000" w:rsidR="00000000" w:rsidRPr="00000000">
        <w:rPr>
          <w:rFonts w:ascii="Calibri" w:cs="Calibri" w:eastAsia="Calibri" w:hAnsi="Calibri"/>
          <w:b w:val="1"/>
          <w:sz w:val="24"/>
          <w:szCs w:val="24"/>
          <w:rtl w:val="0"/>
        </w:rPr>
        <w:t xml:space="preserve">Services de santé dans la communauté</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 d’hôpitaux et types d’établissements de soins</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 total de lits disponibles dans les établissements</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 moyen de lits disponibles</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 de médecins résidant dans la communauté</w:t>
      </w: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Effectif infirmier résidant dans la communauté (nombre)</w:t>
      </w: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Nombre d’agents de santé publique ou de santé maternelle et infantile présents dans la communauté</w:t>
      </w: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À quelle distance se situe l’établissement de soin le plus proche ? Où se trouve-t-il ?</w:t>
      </w: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Quels sont les services de santé dispensés au niveau de la communauté ?</w:t>
      </w:r>
      <w:r w:rsidDel="00000000" w:rsidR="00000000" w:rsidRPr="00000000">
        <w:rPr>
          <w:rtl w:val="0"/>
        </w:rPr>
      </w:r>
    </w:p>
    <w:p w:rsidR="00000000" w:rsidDel="00000000" w:rsidP="00000000" w:rsidRDefault="00000000" w:rsidRPr="00000000" w14:paraId="00000077">
      <w:pPr>
        <w:rPr>
          <w:b w:val="1"/>
          <w:sz w:val="26"/>
          <w:szCs w:val="26"/>
          <w:u w:val="single"/>
        </w:rPr>
      </w:pPr>
      <w:r w:rsidDel="00000000" w:rsidR="00000000" w:rsidRPr="00000000">
        <w:rPr>
          <w:rtl w:val="0"/>
        </w:rPr>
      </w:r>
    </w:p>
    <w:p w:rsidR="00000000" w:rsidDel="00000000" w:rsidP="00000000" w:rsidRDefault="00000000" w:rsidRPr="00000000" w14:paraId="00000078">
      <w:pPr>
        <w:rPr>
          <w:b w:val="1"/>
          <w:sz w:val="26"/>
          <w:szCs w:val="26"/>
          <w:u w:val="single"/>
        </w:rPr>
      </w:pPr>
      <w:r w:rsidDel="00000000" w:rsidR="00000000" w:rsidRPr="00000000">
        <w:rPr>
          <w:b w:val="1"/>
          <w:sz w:val="26"/>
          <w:szCs w:val="26"/>
          <w:u w:val="single"/>
          <w:rtl w:val="0"/>
        </w:rPr>
        <w:t xml:space="preserve">III. Capacité de la communauté à parer à ses besoins de logement</w:t>
      </w:r>
    </w:p>
    <w:p w:rsidR="00000000" w:rsidDel="00000000" w:rsidP="00000000" w:rsidRDefault="00000000" w:rsidRPr="00000000" w14:paraId="00000079">
      <w:pPr>
        <w:spacing w:after="160" w:line="240" w:lineRule="auto"/>
        <w:ind w:left="360" w:firstLine="0"/>
        <w:jc w:val="left"/>
        <w:rPr>
          <w:rFonts w:ascii="Noto Sans Symbols" w:cs="Noto Sans Symbols" w:eastAsia="Noto Sans Symbols" w:hAnsi="Noto Sans Symbols"/>
          <w:sz w:val="24"/>
          <w:szCs w:val="24"/>
        </w:rPr>
      </w:pP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Type de construction de l’habitat ordinaire (description)</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types importants de construction dans la communauté (description)</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Taille moyenne des habitations (par famille, en mètres carrés)</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Existence d’abris d’urgence</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État et type de construction des abris d’urgence</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Disponibilité et emplacement des abris collectifs</w:t>
      </w:r>
      <w:r w:rsidDel="00000000" w:rsidR="00000000" w:rsidRPr="00000000">
        <w:rPr>
          <w:rtl w:val="0"/>
        </w:rPr>
      </w:r>
    </w:p>
    <w:p w:rsidR="00000000" w:rsidDel="00000000" w:rsidP="00000000" w:rsidRDefault="00000000" w:rsidRPr="00000000" w14:paraId="00000080">
      <w:pPr>
        <w:spacing w:after="160" w:line="240" w:lineRule="auto"/>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1">
      <w:pPr>
        <w:rPr>
          <w:b w:val="1"/>
          <w:sz w:val="26"/>
          <w:szCs w:val="26"/>
          <w:u w:val="single"/>
        </w:rPr>
      </w:pPr>
      <w:r w:rsidDel="00000000" w:rsidR="00000000" w:rsidRPr="00000000">
        <w:rPr>
          <w:b w:val="1"/>
          <w:sz w:val="26"/>
          <w:szCs w:val="26"/>
          <w:u w:val="single"/>
          <w:rtl w:val="0"/>
        </w:rPr>
        <w:t xml:space="preserve">IV. Capacité de la communauté à parer à ses besoins alimentaires essentiels</w:t>
      </w:r>
    </w:p>
    <w:p w:rsidR="00000000" w:rsidDel="00000000" w:rsidP="00000000" w:rsidRDefault="00000000" w:rsidRPr="00000000" w14:paraId="00000082">
      <w:pPr>
        <w:spacing w:line="240" w:lineRule="auto"/>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Type d’aliments consommés couramment (cultures, bétail, etc.)</w:t>
      </w:r>
      <w:r w:rsidDel="00000000" w:rsidR="00000000" w:rsidRPr="00000000">
        <w:rPr>
          <w:rFonts w:ascii="Calibri" w:cs="Calibri" w:eastAsia="Calibri" w:hAnsi="Calibri"/>
          <w:b w:val="0"/>
          <w:i w:val="0"/>
          <w:smallCaps w:val="0"/>
          <w:strike w:val="0"/>
          <w:color w:val="000000"/>
          <w:sz w:val="24"/>
          <w:szCs w:val="24"/>
          <w:u w:val="none"/>
          <w:shd w:fill="auto" w:val="clear"/>
          <w:vertAlign w:val="superscript"/>
        </w:rPr>
        <w:footnoteReference w:customMarkFollows="0" w:id="1"/>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les familles se procurent la nourriture (niveaux de production, offre du marché, etc.) </w:t>
      </w:r>
    </w:p>
    <w:p w:rsidR="00000000" w:rsidDel="00000000" w:rsidP="00000000" w:rsidRDefault="00000000" w:rsidRPr="00000000" w14:paraId="0000008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Quelles ressources la communauté possède-t-elle pour faciliter l’accès à la nourriture et assurer sa disponibilité (terres, outils, bêtes, moyens de transport) ?</w:t>
      </w:r>
    </w:p>
    <w:p w:rsidR="00000000" w:rsidDel="00000000" w:rsidP="00000000" w:rsidRDefault="00000000" w:rsidRPr="00000000" w14:paraId="0000008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 est la situation alimentaire actuelle dans la communauté ? Est-elle comparable ou non à une situation « normale » ?</w:t>
      </w:r>
    </w:p>
    <w:p w:rsidR="00000000" w:rsidDel="00000000" w:rsidP="00000000" w:rsidRDefault="00000000" w:rsidRPr="00000000" w14:paraId="0000008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Comment les familles font-elles face aux pénuries alimentaires ?</w:t>
      </w:r>
      <w:r w:rsidDel="00000000" w:rsidR="00000000" w:rsidRPr="00000000">
        <w:rPr>
          <w:rFonts w:ascii="Calibri" w:cs="Calibri" w:eastAsia="Calibri" w:hAnsi="Calibri"/>
          <w:b w:val="0"/>
          <w:i w:val="0"/>
          <w:smallCaps w:val="0"/>
          <w:strike w:val="0"/>
          <w:color w:val="000000"/>
          <w:sz w:val="24"/>
          <w:szCs w:val="24"/>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Qui semble vivre dans la plus grande insécurité alimentaire ? Qui sont les plus menacés d’insécurité alimentaire ?</w:t>
      </w:r>
    </w:p>
    <w:p w:rsidR="00000000" w:rsidDel="00000000" w:rsidP="00000000" w:rsidRDefault="00000000" w:rsidRPr="00000000" w14:paraId="0000008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Aide alimentaire normalement distribuée lors des situations d’urgence de courte durée (espèces ou nature)</w:t>
      </w:r>
    </w:p>
    <w:p w:rsidR="00000000" w:rsidDel="00000000" w:rsidP="00000000" w:rsidRDefault="00000000" w:rsidRPr="00000000" w14:paraId="0000008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Réserves de nourriture des familles (nombre de mois de soudure ou de déficit alimentaire)</w:t>
      </w:r>
    </w:p>
    <w:p w:rsidR="00000000" w:rsidDel="00000000" w:rsidP="00000000" w:rsidRDefault="00000000" w:rsidRPr="00000000" w14:paraId="0000008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Réserves de nourriture dans la communauté (magasins, banques alimentaires, entrepôts, programmes, etc.)</w:t>
      </w:r>
    </w:p>
    <w:p w:rsidR="00000000" w:rsidDel="00000000" w:rsidP="00000000" w:rsidRDefault="00000000" w:rsidRPr="00000000" w14:paraId="0000008C">
      <w:pPr>
        <w:spacing w:after="160" w:line="240" w:lineRule="auto"/>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Voir les Lignes directrices relatives à l’évaluation de la sécurité alimentaire dans le monde (en anglais) : http://www.ifrc.org/Global/global-fsa-guidelines-en.pdf</w:t>
      </w:r>
    </w:p>
    <w:p w:rsidR="00000000" w:rsidDel="00000000" w:rsidP="00000000" w:rsidRDefault="00000000" w:rsidRPr="00000000" w14:paraId="0000008D">
      <w:pPr>
        <w:rPr>
          <w:b w:val="1"/>
          <w:sz w:val="26"/>
          <w:szCs w:val="26"/>
          <w:u w:val="single"/>
        </w:rPr>
      </w:pPr>
      <w:r w:rsidDel="00000000" w:rsidR="00000000" w:rsidRPr="00000000">
        <w:rPr>
          <w:b w:val="1"/>
          <w:sz w:val="26"/>
          <w:szCs w:val="26"/>
          <w:u w:val="single"/>
          <w:rtl w:val="0"/>
        </w:rPr>
        <w:t xml:space="preserve">V. Capacité de la communauté à parer à ses besoins essentiels d’eau et d’assainissement</w:t>
      </w:r>
    </w:p>
    <w:p w:rsidR="00000000" w:rsidDel="00000000" w:rsidP="00000000" w:rsidRDefault="00000000" w:rsidRPr="00000000" w14:paraId="0000008E">
      <w:pPr>
        <w:spacing w:before="240" w:line="240" w:lineRule="auto"/>
        <w:jc w:val="left"/>
        <w:rPr>
          <w:rFonts w:ascii="Times New Roman" w:cs="Times New Roman" w:eastAsia="Times New Roman" w:hAnsi="Times New Roman"/>
          <w:color w:val="000000"/>
          <w:sz w:val="24"/>
          <w:szCs w:val="24"/>
        </w:rPr>
      </w:pPr>
      <w:r w:rsidDel="00000000" w:rsidR="00000000" w:rsidRPr="00000000">
        <w:rPr>
          <w:rFonts w:ascii="Calibri" w:cs="Calibri" w:eastAsia="Calibri" w:hAnsi="Calibri"/>
          <w:b w:val="1"/>
          <w:sz w:val="24"/>
          <w:szCs w:val="24"/>
          <w:rtl w:val="0"/>
        </w:rPr>
        <w:t xml:space="preserve">Eau</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Source d’approvisionnement en eau de la communauté (description)</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Source d’eau menacée en cas d’inondation</w:t>
      </w: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L’approvisionnement en eau est-il commandé par des pompes électriques ?</w:t>
      </w: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Qualité de la source d’eau potable :</w:t>
      </w: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Eau potable</w:t>
      </w: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Eau non potable mais non polluée</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Source polluée</w:t>
      </w:r>
      <w:r w:rsidDel="00000000" w:rsidR="00000000" w:rsidRPr="00000000">
        <w:rPr>
          <w:rtl w:val="0"/>
        </w:rPr>
      </w:r>
    </w:p>
    <w:p w:rsidR="00000000" w:rsidDel="00000000" w:rsidP="00000000" w:rsidRDefault="00000000" w:rsidRPr="00000000" w14:paraId="00000096">
      <w:pPr>
        <w:spacing w:after="160" w:before="240" w:line="240" w:lineRule="auto"/>
        <w:jc w:val="left"/>
        <w:rPr>
          <w:rFonts w:ascii="Times New Roman" w:cs="Times New Roman" w:eastAsia="Times New Roman" w:hAnsi="Times New Roman"/>
          <w:color w:val="000000"/>
          <w:sz w:val="24"/>
          <w:szCs w:val="24"/>
        </w:rPr>
      </w:pPr>
      <w:r w:rsidDel="00000000" w:rsidR="00000000" w:rsidRPr="00000000">
        <w:rPr>
          <w:rFonts w:ascii="Calibri" w:cs="Calibri" w:eastAsia="Calibri" w:hAnsi="Calibri"/>
          <w:b w:val="1"/>
          <w:sz w:val="24"/>
          <w:szCs w:val="24"/>
          <w:rtl w:val="0"/>
        </w:rPr>
        <w:t xml:space="preserve">Assainissement</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Type d’assainissement en usage dans les foyers et les abris (description)</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Installations sanitaires desservant les abris collectifs</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installations sanitaires sont-elles adaptées au nombre de personnes que peut contenir l’abri collectif ?</w:t>
      </w:r>
      <w:r w:rsidDel="00000000" w:rsidR="00000000" w:rsidRPr="00000000">
        <w:rPr>
          <w:rtl w:val="0"/>
        </w:rPr>
      </w:r>
    </w:p>
    <w:p w:rsidR="00000000" w:rsidDel="00000000" w:rsidP="00000000" w:rsidRDefault="00000000" w:rsidRPr="00000000" w14:paraId="0000009A">
      <w:pPr>
        <w:rPr>
          <w:b w:val="1"/>
          <w:sz w:val="26"/>
          <w:szCs w:val="26"/>
          <w:u w:val="single"/>
        </w:rPr>
      </w:pPr>
      <w:r w:rsidDel="00000000" w:rsidR="00000000" w:rsidRPr="00000000">
        <w:rPr>
          <w:rtl w:val="0"/>
        </w:rPr>
      </w:r>
    </w:p>
    <w:p w:rsidR="00000000" w:rsidDel="00000000" w:rsidP="00000000" w:rsidRDefault="00000000" w:rsidRPr="00000000" w14:paraId="0000009B">
      <w:pPr>
        <w:rPr>
          <w:b w:val="1"/>
          <w:sz w:val="26"/>
          <w:szCs w:val="26"/>
          <w:u w:val="single"/>
        </w:rPr>
      </w:pPr>
      <w:r w:rsidDel="00000000" w:rsidR="00000000" w:rsidRPr="00000000">
        <w:rPr>
          <w:b w:val="1"/>
          <w:sz w:val="26"/>
          <w:szCs w:val="26"/>
          <w:u w:val="single"/>
          <w:rtl w:val="0"/>
        </w:rPr>
        <w:t xml:space="preserve">VI. Cohésion sociale de la communauté </w:t>
      </w:r>
    </w:p>
    <w:p w:rsidR="00000000" w:rsidDel="00000000" w:rsidP="00000000" w:rsidRDefault="00000000" w:rsidRPr="00000000" w14:paraId="0000009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Présence de réseaux formels et informels dans la communauté</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Niveau de sécurité perçu dans la communauté</w:t>
      </w:r>
    </w:p>
    <w:p w:rsidR="00000000" w:rsidDel="00000000" w:rsidP="00000000" w:rsidRDefault="00000000" w:rsidRPr="00000000" w14:paraId="0000009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Niveau de participation des membres de la communauté aux activités d’intervention, de préparation et d’atténuation</w:t>
      </w:r>
    </w:p>
    <w:p w:rsidR="00000000" w:rsidDel="00000000" w:rsidP="00000000" w:rsidRDefault="00000000" w:rsidRPr="00000000" w14:paraId="0000009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Existence d’une structure communautaire consacrée à la gestion des risques</w:t>
      </w:r>
    </w:p>
    <w:p w:rsidR="00000000" w:rsidDel="00000000" w:rsidP="00000000" w:rsidRDefault="00000000" w:rsidRPr="00000000" w14:paraId="000000A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Participation active des groupes vulnérables ou marginaux à la gestion des risques</w:t>
      </w:r>
    </w:p>
    <w:p w:rsidR="00000000" w:rsidDel="00000000" w:rsidP="00000000" w:rsidRDefault="00000000" w:rsidRPr="00000000" w14:paraId="000000A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Niveau de confiance dans les autorités publiques (administration locale, police, services d’urgence, etc.)</w:t>
      </w:r>
    </w:p>
    <w:p w:rsidR="00000000" w:rsidDel="00000000" w:rsidP="00000000" w:rsidRDefault="00000000" w:rsidRPr="00000000" w14:paraId="000000A2">
      <w:pPr>
        <w:rPr>
          <w:b w:val="1"/>
          <w:sz w:val="26"/>
          <w:szCs w:val="26"/>
          <w:u w:val="single"/>
        </w:rPr>
      </w:pPr>
      <w:r w:rsidDel="00000000" w:rsidR="00000000" w:rsidRPr="00000000">
        <w:rPr>
          <w:b w:val="1"/>
          <w:sz w:val="26"/>
          <w:szCs w:val="26"/>
          <w:u w:val="single"/>
          <w:rtl w:val="0"/>
        </w:rPr>
        <w:t xml:space="preserve">VII. Capacité de la communauté à offrir des possibilités économiques à ses membres</w:t>
      </w:r>
    </w:p>
    <w:p w:rsidR="00000000" w:rsidDel="00000000" w:rsidP="00000000" w:rsidRDefault="00000000" w:rsidRPr="00000000" w14:paraId="000000A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Principaux types de moyens de subsistance/sources de revenus des membres de la communauté</w:t>
      </w:r>
    </w:p>
    <w:p w:rsidR="00000000" w:rsidDel="00000000" w:rsidP="00000000" w:rsidRDefault="00000000" w:rsidRPr="00000000" w14:paraId="000000A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Taux d’emploi des membres de la communauté (% de membres de la famille qui sont partis s’installer dans une ville proche, un pays voisin ou plus loin pour des raisons économiques)</w:t>
      </w:r>
    </w:p>
    <w:p w:rsidR="00000000" w:rsidDel="00000000" w:rsidP="00000000" w:rsidRDefault="00000000" w:rsidRPr="00000000" w14:paraId="000000A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Participation de la communauté à l’économie formelle et informelle</w:t>
      </w:r>
    </w:p>
    <w:p w:rsidR="00000000" w:rsidDel="00000000" w:rsidP="00000000" w:rsidRDefault="00000000" w:rsidRPr="00000000" w14:paraId="000000A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Obstacles au développement des activités économiques, à l’emploi indépendant ou à l’employabilité</w:t>
      </w:r>
    </w:p>
    <w:p w:rsidR="00000000" w:rsidDel="00000000" w:rsidP="00000000" w:rsidRDefault="00000000" w:rsidRPr="00000000" w14:paraId="000000A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Accès aux ressources naturelles et physiques : terres (pour la culture, le pâturage, la pisciculture), fleuves et rivières, forêts, ressources productives (outils, machines pour l’industrie agroalimentaire, actifs commerciaux, etc.)</w:t>
      </w:r>
    </w:p>
    <w:p w:rsidR="00000000" w:rsidDel="00000000" w:rsidP="00000000" w:rsidRDefault="00000000" w:rsidRPr="00000000" w14:paraId="000000A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Accès aux services financiers (groupes d’épargne et de prêt, institutions de microfinance, banques, prêteurs, etc.) </w:t>
      </w:r>
    </w:p>
    <w:p w:rsidR="00000000" w:rsidDel="00000000" w:rsidP="00000000" w:rsidRDefault="00000000" w:rsidRPr="00000000" w14:paraId="000000A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Accès aux filets de sécurité sociale</w:t>
      </w:r>
    </w:p>
    <w:p w:rsidR="00000000" w:rsidDel="00000000" w:rsidP="00000000" w:rsidRDefault="00000000" w:rsidRPr="00000000" w14:paraId="000000A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Accès aux régimes d’assurance</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rPr>
          <w:b w:val="1"/>
          <w:sz w:val="26"/>
          <w:szCs w:val="26"/>
          <w:u w:val="single"/>
        </w:rPr>
      </w:pPr>
      <w:r w:rsidDel="00000000" w:rsidR="00000000" w:rsidRPr="00000000">
        <w:rPr>
          <w:b w:val="1"/>
          <w:sz w:val="26"/>
          <w:szCs w:val="26"/>
          <w:u w:val="single"/>
          <w:rtl w:val="0"/>
        </w:rPr>
        <w:t xml:space="preserve">VIII. Présence d’infrastructures et d’ouvrages/services essentiels bien entretenus et accessibles</w:t>
      </w:r>
    </w:p>
    <w:p w:rsidR="00000000" w:rsidDel="00000000" w:rsidP="00000000" w:rsidRDefault="00000000" w:rsidRPr="00000000" w14:paraId="000000AD">
      <w:pPr>
        <w:spacing w:line="240" w:lineRule="auto"/>
        <w:jc w:val="left"/>
        <w:rPr>
          <w:rFonts w:ascii="Times New Roman" w:cs="Times New Roman" w:eastAsia="Times New Roman" w:hAnsi="Times New Roman"/>
          <w:color w:val="000000"/>
          <w:sz w:val="24"/>
          <w:szCs w:val="24"/>
        </w:rPr>
      </w:pPr>
      <w:r w:rsidDel="00000000" w:rsidR="00000000" w:rsidRPr="00000000">
        <w:rPr>
          <w:rFonts w:ascii="Calibri" w:cs="Calibri" w:eastAsia="Calibri" w:hAnsi="Calibri"/>
          <w:b w:val="1"/>
          <w:sz w:val="24"/>
          <w:szCs w:val="24"/>
          <w:rtl w:val="0"/>
        </w:rPr>
        <w:t xml:space="preserve">Infrastructures et services</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Routes d’accès à la communauté</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Béton</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Asphalte</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Macadam/gravier/calcaire</w:t>
      </w: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Piste en terre</w:t>
      </w: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route est-elle menacée en cas d’inondation ou de glissement de terrain ?</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Ponts</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 ponts mènent-ils à la communauté ?</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Types de ponts</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Sont-ils menacés en cas de crue (ou autres aléas) ?</w:t>
      </w: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Force portante</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Terrain d’aviation le plus proche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facultatif</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Emplacement du terrain d’aviation le plus proche</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Distance par rapport à la communauté</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Avec piste en dur</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Sans piste en dur</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Avec marquage</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Sans marquage</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Description</w:t>
      </w: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Électricité</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Réseau de distribution aérien</w:t>
      </w: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Générateur et réseau local</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Générateurs individuels seulement</w:t>
      </w: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Absence d’électrification</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Communications</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Radio (type, qui, où)</w:t>
      </w: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Téléphone (type, qui, où)</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Télécopie (type, qui, où)</w:t>
      </w: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Messagerie électronique/internet (type, qui, où)</w:t>
      </w:r>
      <w:r w:rsidDel="00000000" w:rsidR="00000000" w:rsidRPr="00000000">
        <w:rPr>
          <w:rtl w:val="0"/>
        </w:rPr>
      </w:r>
    </w:p>
    <w:p w:rsidR="00000000" w:rsidDel="00000000" w:rsidP="00000000" w:rsidRDefault="00000000" w:rsidRPr="00000000" w14:paraId="000000CB">
      <w:pPr>
        <w:spacing w:after="160" w:line="240" w:lineRule="auto"/>
        <w:ind w:left="1080" w:firstLine="0"/>
        <w:jc w:val="left"/>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CC">
      <w:pPr>
        <w:rPr>
          <w:b w:val="1"/>
          <w:sz w:val="26"/>
          <w:szCs w:val="26"/>
          <w:u w:val="single"/>
        </w:rPr>
      </w:pPr>
      <w:r w:rsidDel="00000000" w:rsidR="00000000" w:rsidRPr="00000000">
        <w:rPr>
          <w:b w:val="1"/>
          <w:sz w:val="26"/>
          <w:szCs w:val="26"/>
          <w:u w:val="single"/>
          <w:rtl w:val="0"/>
        </w:rPr>
        <w:t xml:space="preserve">IX. Capacité de la communauté à gérer ses ressources naturelles</w:t>
      </w:r>
    </w:p>
    <w:p w:rsidR="00000000" w:rsidDel="00000000" w:rsidP="00000000" w:rsidRDefault="00000000" w:rsidRPr="00000000" w14:paraId="000000CD">
      <w:pPr>
        <w:rPr>
          <w:sz w:val="24"/>
          <w:szCs w:val="24"/>
        </w:rPr>
      </w:pPr>
      <w:r w:rsidDel="00000000" w:rsidR="00000000" w:rsidRPr="00000000">
        <w:rPr>
          <w:sz w:val="24"/>
          <w:szCs w:val="24"/>
          <w:rtl w:val="0"/>
        </w:rPr>
        <w:t xml:space="preserve">La communauté parvient-elle à bien gérer les ressources naturelles suivantes ? </w:t>
      </w:r>
    </w:p>
    <w:p w:rsidR="00000000" w:rsidDel="00000000" w:rsidP="00000000" w:rsidRDefault="00000000" w:rsidRPr="00000000" w14:paraId="000000C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Arbres : type de végétation :</w:t>
      </w: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Couvert boisé important</w:t>
      </w: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Zones mixtes boisées et agricoles</w:t>
      </w: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Principalement des surfaces découvertes avec un couvert occasionnel</w:t>
      </w: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 programmes de reboisement sont-ils en cours dans la communauté ? </w:t>
      </w: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Déclivité :</w:t>
      </w:r>
      <w:r w:rsidDel="00000000" w:rsidR="00000000" w:rsidRPr="00000000">
        <w:rPr>
          <w:rtl w:val="0"/>
        </w:rPr>
      </w:r>
    </w:p>
    <w:p w:rsidR="00000000" w:rsidDel="00000000" w:rsidP="00000000" w:rsidRDefault="00000000" w:rsidRPr="00000000" w14:paraId="000000D4">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bâtiments sont construits sur terrain plat (pente de 0 à 2 %)</w:t>
      </w: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bâtiments sont construits sur une faible pente (3 à 5 %)</w:t>
      </w: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bâtiments sont construits sur une pente moyenne (5 à 10 %)</w:t>
      </w: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bâtiments sont construits sur une forte pente (&gt; 10 %)</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 programmes de stabilisation des pentes sont-ils en cours dans la communauté ? </w:t>
      </w:r>
    </w:p>
    <w:p w:rsidR="00000000" w:rsidDel="00000000" w:rsidP="00000000" w:rsidRDefault="00000000" w:rsidRPr="00000000" w14:paraId="000000D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Communauté située au bord ou à proximité d’un cours d’eau sujet à des crues</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 bordure de cours d’eau, sans surélévation</w:t>
      </w: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 bordure de cours d’eau, mais avec surélévation</w:t>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Lit majeur</w:t>
      </w: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Terrain surélevé</w:t>
      </w:r>
      <w:r w:rsidDel="00000000" w:rsidR="00000000" w:rsidRPr="00000000">
        <w:rPr>
          <w:rtl w:val="0"/>
        </w:rPr>
      </w:r>
    </w:p>
    <w:p w:rsidR="00000000" w:rsidDel="00000000" w:rsidP="00000000" w:rsidRDefault="00000000" w:rsidRPr="00000000" w14:paraId="000000DE">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 activités de gestion ou de protection des cours d’eau sont-elles en cours dans la communauté ou en amont ?</w:t>
      </w: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Autres ressources naturelles : zones littorales, etc.</w:t>
      </w:r>
      <w:r w:rsidDel="00000000" w:rsidR="00000000" w:rsidRPr="00000000">
        <w:rPr>
          <w:rtl w:val="0"/>
        </w:rPr>
      </w:r>
    </w:p>
    <w:p w:rsidR="00000000" w:rsidDel="00000000" w:rsidP="00000000" w:rsidRDefault="00000000" w:rsidRPr="00000000" w14:paraId="000000E0">
      <w:pPr>
        <w:rPr>
          <w:b w:val="1"/>
          <w:sz w:val="26"/>
          <w:szCs w:val="26"/>
          <w:u w:val="single"/>
        </w:rPr>
      </w:pPr>
      <w:r w:rsidDel="00000000" w:rsidR="00000000" w:rsidRPr="00000000">
        <w:rPr>
          <w:rtl w:val="0"/>
        </w:rPr>
      </w:r>
    </w:p>
    <w:p w:rsidR="00000000" w:rsidDel="00000000" w:rsidP="00000000" w:rsidRDefault="00000000" w:rsidRPr="00000000" w14:paraId="000000E1">
      <w:pPr>
        <w:rPr>
          <w:b w:val="1"/>
          <w:sz w:val="26"/>
          <w:szCs w:val="26"/>
          <w:u w:val="single"/>
        </w:rPr>
      </w:pPr>
      <w:r w:rsidDel="00000000" w:rsidR="00000000" w:rsidRPr="00000000">
        <w:rPr>
          <w:b w:val="1"/>
          <w:sz w:val="26"/>
          <w:szCs w:val="26"/>
          <w:u w:val="single"/>
          <w:rtl w:val="0"/>
        </w:rPr>
        <w:t xml:space="preserve">X. Aptitude de la communauté à nouer des liens avec les autres parties prenantes concernées</w:t>
      </w:r>
    </w:p>
    <w:p w:rsidR="00000000" w:rsidDel="00000000" w:rsidP="00000000" w:rsidRDefault="00000000" w:rsidRPr="00000000" w14:paraId="000000E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Qui jouit du plus haut niveau d’autorité dans la communauté et quels sont les rapports entre ces personnes et la communauté ?</w:t>
      </w: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 est le niveau de participation des membres de la communauté aux activités d’intervention, de préparation et d’atténuation menées par les autorités locales ? </w:t>
      </w:r>
    </w:p>
    <w:p w:rsidR="00000000" w:rsidDel="00000000" w:rsidP="00000000" w:rsidRDefault="00000000" w:rsidRPr="00000000" w14:paraId="000000E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Quels sont les rapports entre la communauté et les groupes suivants : groupes religieux, organisations de la société civile, autorités politiques, entreprises, autres ?</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Quelles sont les ONG et les organisations locales à base communautaire présentes dans la communauté ? Quels sont leurs domaines d’activité et de compétence ? Ces organisations participent-elles aux activités de gestion des risques ?</w:t>
      </w: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6838" w:w="11906" w:orient="portrait"/>
      <w:pgMar w:bottom="1440" w:top="1440" w:left="1440" w:right="1440" w:header="708" w:footer="567"/>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Caecilia LT Std Ligh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Cette liste s’appuie sur une liste de référence mise au point par Jim Good et Charles Dufresne d’InterWorks pour évaluer la vulnérabilité des communautés aux catastrophes et leurs capacités de réponse (InterWorks, 21 avril 2001, </w:t>
      </w:r>
      <w:hyperlink r:id="rId1">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www.interworksmadison.com</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Certaines des questions ont été adaptées/modifiées.</w:t>
      </w:r>
      <w:r w:rsidDel="00000000" w:rsidR="00000000" w:rsidRPr="00000000">
        <w:rPr>
          <w:rtl w:val="0"/>
        </w:rPr>
      </w:r>
    </w:p>
  </w:footnote>
  <w:footnote w:id="1">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hyperlink r:id="rId2">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Score de consommation alimentaire (SCA)</w:t>
        </w:r>
      </w:hyperlink>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(en anglais)</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et </w:t>
      </w:r>
      <w:hyperlink r:id="rId3">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Diversité alimentaire des ménages (DAM)</w:t>
        </w:r>
      </w:hyperlink>
      <w:r w:rsidDel="00000000" w:rsidR="00000000" w:rsidRPr="00000000">
        <w:rPr>
          <w:rtl w:val="0"/>
        </w:rPr>
      </w:r>
    </w:p>
  </w:footnote>
  <w:footnote w:id="2">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hyperlink r:id="rId4">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Indice de stratégie de survie (ISS)</w:t>
        </w:r>
      </w:hyperlink>
      <w:r w:rsidDel="00000000" w:rsidR="00000000" w:rsidRPr="00000000">
        <w:rPr>
          <w:rFonts w:ascii="Calibri" w:cs="Calibri" w:eastAsia="Calibri" w:hAnsi="Calibri"/>
          <w:b w:val="0"/>
          <w:i w:val="0"/>
          <w:smallCaps w:val="0"/>
          <w:strike w:val="0"/>
          <w:color w:val="0563c1"/>
          <w:sz w:val="20"/>
          <w:szCs w:val="20"/>
          <w:u w:val="none"/>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(en anglais)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4513" w:right="0" w:hanging="4513"/>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Fiche de référence sur la communauté</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15" name=""/>
              <a:graphic>
                <a:graphicData uri="http://schemas.microsoft.com/office/word/2010/wordprocessingShape">
                  <wps:wsp>
                    <wps:cNvSpPr/>
                    <wps:cNvPr id="5" name="Shape 5"/>
                    <wps:spPr>
                      <a:xfrm>
                        <a:off x="5292661" y="3679035"/>
                        <a:ext cx="106679" cy="201930"/>
                      </a:xfrm>
                      <a:prstGeom prst="rect">
                        <a:avLst/>
                      </a:prstGeom>
                      <a:solidFill>
                        <a:srgbClr val="00A0DC"/>
                      </a:solidFill>
                      <a:ln cap="flat" cmpd="sng" w="12700">
                        <a:solidFill>
                          <a:srgbClr val="00A0DC"/>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15"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19379" cy="214630"/>
                      </a:xfrm>
                      <a:prstGeom prst="rect"/>
                      <a:ln/>
                    </pic:spPr>
                  </pic:pic>
                </a:graphicData>
              </a:graphic>
            </wp:anchor>
          </w:drawing>
        </mc:Fallback>
      </mc:AlternateConten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800" w:hanging="720"/>
      </w:pPr>
      <w:rPr>
        <w:rFonts w:ascii="Calibri" w:cs="Calibri" w:eastAsia="Calibri" w:hAnsi="Calibri"/>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800" w:hanging="72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800" w:hanging="72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8"/>
        <w:szCs w:val="28"/>
        <w:lang w:val="fr"/>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240" w:lineRule="auto"/>
    </w:pPr>
    <w:rPr>
      <w:rFonts w:ascii="Calibri" w:cs="Calibri" w:eastAsia="Calibri" w:hAnsi="Calibri"/>
      <w:color w:val="003246"/>
      <w:sz w:val="36"/>
      <w:szCs w:val="36"/>
    </w:rPr>
  </w:style>
  <w:style w:type="paragraph" w:styleId="Heading2">
    <w:name w:val="heading 2"/>
    <w:basedOn w:val="Normal"/>
    <w:next w:val="Normal"/>
    <w:pPr>
      <w:keepNext w:val="1"/>
      <w:keepLines w:val="1"/>
      <w:spacing w:after="120" w:before="120" w:lineRule="auto"/>
    </w:pPr>
    <w:rPr>
      <w:rFonts w:ascii="Caecilia LT Std Light" w:cs="Caecilia LT Std Light" w:eastAsia="Caecilia LT Std Light" w:hAnsi="Caecilia LT Std Light"/>
      <w:b w:val="1"/>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240" w:lineRule="auto"/>
    </w:pPr>
    <w:rPr>
      <w:rFonts w:ascii="Calibri" w:cs="Calibri" w:eastAsia="Calibri" w:hAnsi="Calibri"/>
      <w:sz w:val="56"/>
      <w:szCs w:val="56"/>
    </w:rPr>
  </w:style>
  <w:style w:type="paragraph" w:styleId="Normal" w:default="1">
    <w:name w:val="Normal"/>
    <w:qFormat w:val="1"/>
    <w:rsid w:val="005C7DEC"/>
    <w:pPr>
      <w:spacing w:after="0" w:line="276" w:lineRule="auto"/>
      <w:jc w:val="both"/>
    </w:pPr>
    <w:rPr>
      <w:rFonts w:cs="Times New Roman" w:eastAsia="Times New Roman"/>
      <w:color w:val="000000"/>
      <w:sz w:val="28"/>
      <w:szCs w:val="24"/>
      <w:lang w:eastAsia="en-GB"/>
    </w:rPr>
  </w:style>
  <w:style w:type="paragraph" w:styleId="Heading1">
    <w:name w:val="heading 1"/>
    <w:basedOn w:val="Normal"/>
    <w:next w:val="Normal"/>
    <w:link w:val="Heading1Char"/>
    <w:uiPriority w:val="9"/>
    <w:qFormat w:val="1"/>
    <w:rsid w:val="005C7DEC"/>
    <w:pPr>
      <w:keepNext w:val="1"/>
      <w:keepLines w:val="1"/>
      <w:spacing w:after="120" w:before="240"/>
      <w:outlineLvl w:val="0"/>
    </w:pPr>
    <w:rPr>
      <w:rFonts w:asciiTheme="majorHAnsi" w:cstheme="majorBidi" w:eastAsiaTheme="majorEastAsia" w:hAnsiTheme="majorHAnsi"/>
      <w:color w:val="003246"/>
      <w:sz w:val="36"/>
      <w:szCs w:val="36"/>
    </w:rPr>
  </w:style>
  <w:style w:type="paragraph" w:styleId="Heading2">
    <w:name w:val="heading 2"/>
    <w:basedOn w:val="Normal"/>
    <w:next w:val="Normal"/>
    <w:link w:val="Heading2Char"/>
    <w:uiPriority w:val="9"/>
    <w:unhideWhenUsed w:val="1"/>
    <w:qFormat w:val="1"/>
    <w:rsid w:val="005C7DEC"/>
    <w:pPr>
      <w:keepNext w:val="1"/>
      <w:keepLines w:val="1"/>
      <w:spacing w:after="120" w:before="120"/>
      <w:outlineLvl w:val="1"/>
    </w:pPr>
    <w:rPr>
      <w:rFonts w:ascii="Caecilia LT Std Light" w:hAnsi="Caecilia LT Std Light" w:cstheme="majorBidi" w:eastAsiaTheme="majorEastAsia"/>
      <w:b w:val="1"/>
      <w:szCs w:val="26"/>
    </w:rPr>
  </w:style>
  <w:style w:type="paragraph" w:styleId="Heading3">
    <w:name w:val="heading 3"/>
    <w:basedOn w:val="Normal"/>
    <w:next w:val="Normal"/>
    <w:link w:val="Heading3Char"/>
    <w:uiPriority w:val="9"/>
    <w:semiHidden w:val="1"/>
    <w:unhideWhenUsed w:val="1"/>
    <w:qFormat w:val="1"/>
    <w:rsid w:val="003A61E7"/>
    <w:pPr>
      <w:keepNext w:val="1"/>
      <w:keepLines w:val="1"/>
      <w:spacing w:before="40"/>
      <w:outlineLvl w:val="2"/>
    </w:pPr>
    <w:rPr>
      <w:rFonts w:asciiTheme="majorHAnsi" w:cstheme="majorBidi" w:eastAsiaTheme="majorEastAsia" w:hAnsiTheme="majorHAnsi"/>
      <w:color w:val="1f3763" w:themeColor="accent1" w:themeShade="00007F"/>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5D770E"/>
    <w:pPr>
      <w:spacing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5D770E"/>
    <w:rPr>
      <w:rFonts w:asciiTheme="majorHAnsi" w:cstheme="majorBidi" w:eastAsiaTheme="majorEastAsia" w:hAnsiTheme="majorHAnsi"/>
      <w:spacing w:val="-10"/>
      <w:kern w:val="28"/>
      <w:sz w:val="56"/>
      <w:szCs w:val="56"/>
    </w:rPr>
  </w:style>
  <w:style w:type="character" w:styleId="Heading1Char" w:customStyle="1">
    <w:name w:val="Heading 1 Char"/>
    <w:basedOn w:val="DefaultParagraphFont"/>
    <w:link w:val="Heading1"/>
    <w:uiPriority w:val="9"/>
    <w:rsid w:val="005C7DEC"/>
    <w:rPr>
      <w:rFonts w:asciiTheme="majorHAnsi" w:cstheme="majorBidi" w:eastAsiaTheme="majorEastAsia" w:hAnsiTheme="majorHAnsi"/>
      <w:color w:val="003246"/>
      <w:sz w:val="36"/>
      <w:szCs w:val="36"/>
      <w:lang w:eastAsia="en-GB"/>
    </w:rPr>
  </w:style>
  <w:style w:type="paragraph" w:styleId="ListParagraph">
    <w:name w:val="List Paragraph"/>
    <w:basedOn w:val="Normal"/>
    <w:uiPriority w:val="34"/>
    <w:qFormat w:val="1"/>
    <w:rsid w:val="005D770E"/>
    <w:pPr>
      <w:ind w:left="720"/>
      <w:contextualSpacing w:val="1"/>
    </w:pPr>
  </w:style>
  <w:style w:type="character" w:styleId="Hyperlink">
    <w:name w:val="Hyperlink"/>
    <w:basedOn w:val="DefaultParagraphFont"/>
    <w:uiPriority w:val="99"/>
    <w:unhideWhenUsed w:val="1"/>
    <w:rsid w:val="009540C6"/>
    <w:rPr>
      <w:color w:val="0563c1" w:themeColor="hyperlink"/>
      <w:u w:val="single"/>
    </w:rPr>
  </w:style>
  <w:style w:type="character" w:styleId="Heading2Char" w:customStyle="1">
    <w:name w:val="Heading 2 Char"/>
    <w:basedOn w:val="DefaultParagraphFont"/>
    <w:link w:val="Heading2"/>
    <w:uiPriority w:val="9"/>
    <w:rsid w:val="005C7DEC"/>
    <w:rPr>
      <w:rFonts w:ascii="Caecilia LT Std Light" w:hAnsi="Caecilia LT Std Light" w:cstheme="majorBidi" w:eastAsiaTheme="majorEastAsia"/>
      <w:b w:val="1"/>
      <w:color w:val="000000"/>
      <w:sz w:val="28"/>
      <w:szCs w:val="26"/>
      <w:lang w:eastAsia="en-GB"/>
    </w:rPr>
  </w:style>
  <w:style w:type="paragraph" w:styleId="Caption">
    <w:name w:val="caption"/>
    <w:basedOn w:val="Normal"/>
    <w:next w:val="Normal"/>
    <w:uiPriority w:val="35"/>
    <w:unhideWhenUsed w:val="1"/>
    <w:qFormat w:val="1"/>
    <w:rsid w:val="005C7DEC"/>
    <w:pPr>
      <w:spacing w:after="200" w:line="240" w:lineRule="auto"/>
      <w:jc w:val="left"/>
    </w:pPr>
    <w:rPr>
      <w:rFonts w:cstheme="minorBidi" w:eastAsiaTheme="minorHAnsi"/>
      <w:i w:val="1"/>
      <w:iCs w:val="1"/>
      <w:color w:val="44546a" w:themeColor="text2"/>
      <w:sz w:val="18"/>
      <w:szCs w:val="18"/>
      <w:lang w:eastAsia="en-US"/>
    </w:rPr>
  </w:style>
  <w:style w:type="paragraph" w:styleId="BalloonText">
    <w:name w:val="Balloon Text"/>
    <w:basedOn w:val="Normal"/>
    <w:link w:val="BalloonTextChar"/>
    <w:uiPriority w:val="99"/>
    <w:semiHidden w:val="1"/>
    <w:unhideWhenUsed w:val="1"/>
    <w:rsid w:val="005C7DEC"/>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C7DEC"/>
    <w:rPr>
      <w:rFonts w:ascii="Segoe UI" w:cs="Segoe UI" w:eastAsia="Times New Roman" w:hAnsi="Segoe UI"/>
      <w:color w:val="000000"/>
      <w:sz w:val="18"/>
      <w:szCs w:val="18"/>
      <w:lang w:eastAsia="en-GB"/>
    </w:rPr>
  </w:style>
  <w:style w:type="table" w:styleId="TableGrid">
    <w:name w:val="Table Grid"/>
    <w:basedOn w:val="TableNormal"/>
    <w:uiPriority w:val="39"/>
    <w:rsid w:val="00CB58C8"/>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NoSpacing">
    <w:name w:val="No Spacing"/>
    <w:link w:val="NoSpacingChar"/>
    <w:uiPriority w:val="1"/>
    <w:qFormat w:val="1"/>
    <w:rsid w:val="005D7F59"/>
    <w:pPr>
      <w:spacing w:after="0" w:line="240" w:lineRule="auto"/>
    </w:pPr>
    <w:rPr>
      <w:rFonts w:eastAsiaTheme="minorEastAsia"/>
      <w:lang w:val="en-US"/>
    </w:rPr>
  </w:style>
  <w:style w:type="character" w:styleId="NoSpacingChar" w:customStyle="1">
    <w:name w:val="No Spacing Char"/>
    <w:basedOn w:val="DefaultParagraphFont"/>
    <w:link w:val="NoSpacing"/>
    <w:uiPriority w:val="1"/>
    <w:rsid w:val="005D7F59"/>
    <w:rPr>
      <w:rFonts w:eastAsiaTheme="minorEastAsia"/>
      <w:lang w:val="en-US"/>
    </w:rPr>
  </w:style>
  <w:style w:type="paragraph" w:styleId="Header">
    <w:name w:val="header"/>
    <w:basedOn w:val="Normal"/>
    <w:link w:val="HeaderChar"/>
    <w:uiPriority w:val="99"/>
    <w:unhideWhenUsed w:val="1"/>
    <w:rsid w:val="00B837BD"/>
    <w:pPr>
      <w:tabs>
        <w:tab w:val="center" w:pos="4513"/>
        <w:tab w:val="right" w:pos="9026"/>
      </w:tabs>
      <w:spacing w:line="240" w:lineRule="auto"/>
    </w:pPr>
  </w:style>
  <w:style w:type="character" w:styleId="HeaderChar" w:customStyle="1">
    <w:name w:val="Header Char"/>
    <w:basedOn w:val="DefaultParagraphFont"/>
    <w:link w:val="Header"/>
    <w:uiPriority w:val="99"/>
    <w:rsid w:val="00B837BD"/>
    <w:rPr>
      <w:rFonts w:cs="Times New Roman" w:eastAsia="Times New Roman"/>
      <w:color w:val="000000"/>
      <w:sz w:val="28"/>
      <w:szCs w:val="24"/>
      <w:lang w:eastAsia="en-GB"/>
    </w:rPr>
  </w:style>
  <w:style w:type="paragraph" w:styleId="Footer">
    <w:name w:val="footer"/>
    <w:basedOn w:val="Normal"/>
    <w:link w:val="FooterChar"/>
    <w:uiPriority w:val="99"/>
    <w:unhideWhenUsed w:val="1"/>
    <w:rsid w:val="00B837BD"/>
    <w:pPr>
      <w:tabs>
        <w:tab w:val="center" w:pos="4513"/>
        <w:tab w:val="right" w:pos="9026"/>
      </w:tabs>
      <w:spacing w:line="240" w:lineRule="auto"/>
    </w:pPr>
  </w:style>
  <w:style w:type="character" w:styleId="FooterChar" w:customStyle="1">
    <w:name w:val="Footer Char"/>
    <w:basedOn w:val="DefaultParagraphFont"/>
    <w:link w:val="Footer"/>
    <w:uiPriority w:val="99"/>
    <w:rsid w:val="00B837BD"/>
    <w:rPr>
      <w:rFonts w:cs="Times New Roman" w:eastAsia="Times New Roman"/>
      <w:color w:val="000000"/>
      <w:sz w:val="28"/>
      <w:szCs w:val="24"/>
      <w:lang w:eastAsia="en-GB"/>
    </w:rPr>
  </w:style>
  <w:style w:type="character" w:styleId="UnresolvedMention1" w:customStyle="1">
    <w:name w:val="Unresolved Mention1"/>
    <w:basedOn w:val="DefaultParagraphFont"/>
    <w:uiPriority w:val="99"/>
    <w:semiHidden w:val="1"/>
    <w:unhideWhenUsed w:val="1"/>
    <w:rsid w:val="00B007FE"/>
    <w:rPr>
      <w:color w:val="808080"/>
      <w:shd w:color="auto" w:fill="e6e6e6" w:val="clear"/>
    </w:rPr>
  </w:style>
  <w:style w:type="paragraph" w:styleId="FootnoteText">
    <w:name w:val="footnote text"/>
    <w:basedOn w:val="Normal"/>
    <w:link w:val="FootnoteTextChar"/>
    <w:uiPriority w:val="99"/>
    <w:unhideWhenUsed w:val="1"/>
    <w:rsid w:val="00154840"/>
    <w:pPr>
      <w:spacing w:line="240" w:lineRule="auto"/>
    </w:pPr>
    <w:rPr>
      <w:sz w:val="20"/>
      <w:szCs w:val="20"/>
    </w:rPr>
  </w:style>
  <w:style w:type="character" w:styleId="FootnoteTextChar" w:customStyle="1">
    <w:name w:val="Footnote Text Char"/>
    <w:basedOn w:val="DefaultParagraphFont"/>
    <w:link w:val="FootnoteText"/>
    <w:uiPriority w:val="99"/>
    <w:rsid w:val="00154840"/>
    <w:rPr>
      <w:rFonts w:cs="Times New Roman" w:eastAsia="Times New Roman"/>
      <w:color w:val="000000"/>
      <w:sz w:val="20"/>
      <w:szCs w:val="20"/>
      <w:lang w:eastAsia="en-GB"/>
    </w:rPr>
  </w:style>
  <w:style w:type="character" w:styleId="FootnoteReference">
    <w:name w:val="footnote reference"/>
    <w:basedOn w:val="DefaultParagraphFont"/>
    <w:uiPriority w:val="99"/>
    <w:semiHidden w:val="1"/>
    <w:unhideWhenUsed w:val="1"/>
    <w:rsid w:val="00154840"/>
    <w:rPr>
      <w:vertAlign w:val="superscript"/>
    </w:rPr>
  </w:style>
  <w:style w:type="character" w:styleId="CommentReference">
    <w:name w:val="annotation reference"/>
    <w:basedOn w:val="DefaultParagraphFont"/>
    <w:uiPriority w:val="99"/>
    <w:semiHidden w:val="1"/>
    <w:unhideWhenUsed w:val="1"/>
    <w:rsid w:val="005812D9"/>
    <w:rPr>
      <w:sz w:val="16"/>
      <w:szCs w:val="16"/>
    </w:rPr>
  </w:style>
  <w:style w:type="paragraph" w:styleId="CommentText">
    <w:name w:val="annotation text"/>
    <w:basedOn w:val="Normal"/>
    <w:link w:val="CommentTextChar"/>
    <w:uiPriority w:val="99"/>
    <w:semiHidden w:val="1"/>
    <w:unhideWhenUsed w:val="1"/>
    <w:rsid w:val="005812D9"/>
    <w:pPr>
      <w:spacing w:line="240" w:lineRule="auto"/>
    </w:pPr>
    <w:rPr>
      <w:sz w:val="20"/>
      <w:szCs w:val="20"/>
    </w:rPr>
  </w:style>
  <w:style w:type="character" w:styleId="CommentTextChar" w:customStyle="1">
    <w:name w:val="Comment Text Char"/>
    <w:basedOn w:val="DefaultParagraphFont"/>
    <w:link w:val="CommentText"/>
    <w:uiPriority w:val="99"/>
    <w:semiHidden w:val="1"/>
    <w:rsid w:val="005812D9"/>
    <w:rPr>
      <w:rFonts w:cs="Times New Roman" w:eastAsia="Times New Roman"/>
      <w:color w:val="000000"/>
      <w:sz w:val="20"/>
      <w:szCs w:val="20"/>
      <w:lang w:eastAsia="en-GB"/>
    </w:rPr>
  </w:style>
  <w:style w:type="paragraph" w:styleId="CommentSubject">
    <w:name w:val="annotation subject"/>
    <w:basedOn w:val="CommentText"/>
    <w:next w:val="CommentText"/>
    <w:link w:val="CommentSubjectChar"/>
    <w:uiPriority w:val="99"/>
    <w:semiHidden w:val="1"/>
    <w:unhideWhenUsed w:val="1"/>
    <w:rsid w:val="005812D9"/>
    <w:rPr>
      <w:b w:val="1"/>
      <w:bCs w:val="1"/>
    </w:rPr>
  </w:style>
  <w:style w:type="character" w:styleId="CommentSubjectChar" w:customStyle="1">
    <w:name w:val="Comment Subject Char"/>
    <w:basedOn w:val="CommentTextChar"/>
    <w:link w:val="CommentSubject"/>
    <w:uiPriority w:val="99"/>
    <w:semiHidden w:val="1"/>
    <w:rsid w:val="005812D9"/>
    <w:rPr>
      <w:rFonts w:cs="Times New Roman" w:eastAsia="Times New Roman"/>
      <w:b w:val="1"/>
      <w:bCs w:val="1"/>
      <w:color w:val="000000"/>
      <w:sz w:val="20"/>
      <w:szCs w:val="20"/>
      <w:lang w:eastAsia="en-GB"/>
    </w:rPr>
  </w:style>
  <w:style w:type="character" w:styleId="Heading3Char" w:customStyle="1">
    <w:name w:val="Heading 3 Char"/>
    <w:basedOn w:val="DefaultParagraphFont"/>
    <w:link w:val="Heading3"/>
    <w:uiPriority w:val="9"/>
    <w:semiHidden w:val="1"/>
    <w:rsid w:val="003A61E7"/>
    <w:rPr>
      <w:rFonts w:asciiTheme="majorHAnsi" w:cstheme="majorBidi" w:eastAsiaTheme="majorEastAsia" w:hAnsiTheme="majorHAnsi"/>
      <w:color w:val="1f3763" w:themeColor="accent1" w:themeShade="00007F"/>
      <w:sz w:val="24"/>
      <w:szCs w:val="24"/>
      <w:lang w:eastAsia="en-GB"/>
    </w:rPr>
  </w:style>
  <w:style w:type="character" w:styleId="FollowedHyperlink">
    <w:name w:val="FollowedHyperlink"/>
    <w:basedOn w:val="DefaultParagraphFont"/>
    <w:uiPriority w:val="99"/>
    <w:semiHidden w:val="1"/>
    <w:unhideWhenUsed w:val="1"/>
    <w:rsid w:val="003B6DE4"/>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1.png"/><Relationship Id="rId13" Type="http://schemas.openxmlformats.org/officeDocument/2006/relationships/header" Target="header1.xml"/><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15" Type="http://schemas.openxmlformats.org/officeDocument/2006/relationships/header" Target="header2.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www.interworksmadison.com" TargetMode="External"/><Relationship Id="rId2" Type="http://schemas.openxmlformats.org/officeDocument/2006/relationships/hyperlink" Target="http://clp-bangladesh.org/wp-content/uploads/2014/05/Measuring-the-Food-Consumption-Score.pdf" TargetMode="External"/><Relationship Id="rId3" Type="http://schemas.openxmlformats.org/officeDocument/2006/relationships/hyperlink" Target="http://www.fao.org/3/a-i1983f.pdf" TargetMode="External"/><Relationship Id="rId4" Type="http://schemas.openxmlformats.org/officeDocument/2006/relationships/hyperlink" Target="http://clp-bangladesh.org/wp-content/uploads/2014/05/Measuring-the-Coping-Strategy-Index.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JK+ncboB73ZtArtI1q2mXc+IWA==">CgMxLjAyCGguZ2pkZ3hzOAByITFVNXRSSjdaWC1ocW9iMGlqaHBROFctRW9LczdNcHMxTQ==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2018-12-08T11:11:00Z</dcterms:created>
  <dc:creator>Lucia ROBLES DIOS</dc:creator>
</cp:coreProperties>
</file>