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pBdr>
          <w:bottom w:color="00a0dc" w:space="1" w:sz="12" w:val="single"/>
        </w:pBdr>
        <w:jc w:val="center"/>
        <w:rPr>
          <w:color w:val="00a0dc"/>
          <w:sz w:val="40"/>
          <w:szCs w:val="40"/>
        </w:rPr>
      </w:pPr>
      <w:bookmarkStart w:colFirst="0" w:colLast="0" w:name="_heading=h.gjdgxs" w:id="0"/>
      <w:bookmarkEnd w:id="0"/>
      <w:r w:rsidDel="00000000" w:rsidR="00000000" w:rsidRPr="00000000">
        <w:rPr>
          <w:color w:val="00a0dc"/>
          <w:sz w:val="40"/>
          <w:szCs w:val="40"/>
          <w:rtl w:val="0"/>
        </w:rPr>
        <w:t xml:space="preserve">Inclure des considérations supplémentaires sur le climat, le genre et la diversité, les moyens de subsistance et la santé dans le profil historique et la visualisation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Voici des suggestions élaborées par des praticiens de l'EVC de différentes parties du monde pour adapter ou améliorer des aspects particuliers des outils de l'EVC. Bien que les aspects fondamentaux de ces secteurs aient été intégrés dans les outils révisés, nous recommandons les ajouts suivants aux outils si vous souhaitez axer votre EVC sur un ou plusieurs de ces domaines : </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Genre et diversité </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Adaptation au changement climatique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Moyens de subsistance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Santé </w:t>
      </w:r>
    </w:p>
    <w:p w:rsidR="00000000" w:rsidDel="00000000" w:rsidP="00000000" w:rsidRDefault="00000000" w:rsidRPr="00000000" w14:paraId="00000008">
      <w:pPr>
        <w:rPr/>
      </w:pPr>
      <w:r w:rsidDel="00000000" w:rsidR="00000000" w:rsidRPr="00000000">
        <w:rPr>
          <w:rtl w:val="0"/>
        </w:rPr>
        <w:t xml:space="preserve">Il convient de les lire et de les utiliser comme note complémentaire aux étapes décrites dans le </w:t>
      </w:r>
      <w:hyperlink r:id="rId8">
        <w:r w:rsidDel="00000000" w:rsidR="00000000" w:rsidRPr="00000000">
          <w:rPr>
            <w:color w:val="0563c1"/>
            <w:u w:val="single"/>
            <w:rtl w:val="0"/>
          </w:rPr>
          <w:t xml:space="preserve">profil historique</w:t>
        </w:r>
      </w:hyperlink>
      <w:r w:rsidDel="00000000" w:rsidR="00000000" w:rsidRPr="00000000">
        <w:rPr>
          <w:rtl w:val="0"/>
        </w:rPr>
        <w:t xml:space="preserve">. </w:t>
      </w:r>
    </w:p>
    <w:p w:rsidR="00000000" w:rsidDel="00000000" w:rsidP="00000000" w:rsidRDefault="00000000" w:rsidRPr="00000000" w14:paraId="00000009">
      <w:pPr>
        <w:rPr/>
      </w:pPr>
      <w:bookmarkStart w:colFirst="0" w:colLast="0" w:name="_heading=h.30j0zll" w:id="1"/>
      <w:bookmarkEnd w:id="1"/>
      <w:r w:rsidDel="00000000" w:rsidR="00000000" w:rsidRPr="00000000">
        <w:rPr>
          <w:rtl w:val="0"/>
        </w:rPr>
      </w:r>
    </w:p>
    <w:p w:rsidR="00000000" w:rsidDel="00000000" w:rsidP="00000000" w:rsidRDefault="00000000" w:rsidRPr="00000000" w14:paraId="0000000A">
      <w:pPr>
        <w:pStyle w:val="Heading2"/>
        <w:ind w:firstLine="720"/>
        <w:rPr/>
      </w:pPr>
      <w:r w:rsidDel="00000000" w:rsidR="00000000" w:rsidRPr="00000000">
        <w:rPr>
          <w:rtl w:val="0"/>
        </w:rPr>
        <w:t xml:space="preserve">Genre et diversité</w:t>
      </w:r>
      <w:r w:rsidDel="00000000" w:rsidR="00000000" w:rsidRPr="00000000">
        <w:rPr>
          <w:vertAlign w:val="superscript"/>
        </w:rPr>
        <w:footnoteReference w:customMarkFollows="0" w:id="0"/>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-38099</wp:posOffset>
                </wp:positionH>
                <wp:positionV relativeFrom="paragraph">
                  <wp:posOffset>-139699</wp:posOffset>
                </wp:positionV>
                <wp:extent cx="5703570" cy="458470"/>
                <wp:effectExtent b="0" l="0" r="0" t="0"/>
                <wp:wrapNone/>
                <wp:docPr id="220" name=""/>
                <a:graphic>
                  <a:graphicData uri="http://schemas.microsoft.com/office/word/2010/wordprocessingShape">
                    <wps:wsp>
                      <wps:cNvSpPr/>
                      <wps:cNvPr id="4" name="Shape 4"/>
                      <wps:spPr>
                        <a:xfrm>
                          <a:off x="2503740" y="3560290"/>
                          <a:ext cx="5684520" cy="439420"/>
                        </a:xfrm>
                        <a:prstGeom prst="rect">
                          <a:avLst/>
                        </a:prstGeom>
                        <a:solidFill>
                          <a:srgbClr val="FFFFFF"/>
                        </a:solidFill>
                        <a:ln cap="flat" cmpd="sng" w="1905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-38099</wp:posOffset>
                </wp:positionH>
                <wp:positionV relativeFrom="paragraph">
                  <wp:posOffset>-139699</wp:posOffset>
                </wp:positionV>
                <wp:extent cx="5703570" cy="458470"/>
                <wp:effectExtent b="0" l="0" r="0" t="0"/>
                <wp:wrapNone/>
                <wp:docPr id="220"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5703570" cy="4584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6351</wp:posOffset>
            </wp:positionH>
            <wp:positionV relativeFrom="paragraph">
              <wp:posOffset>-121919</wp:posOffset>
            </wp:positionV>
            <wp:extent cx="387350" cy="377190"/>
            <wp:effectExtent b="0" l="0" r="0" t="0"/>
            <wp:wrapNone/>
            <wp:docPr id="225"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87350" cy="377190"/>
                    </a:xfrm>
                    <a:prstGeom prst="rect"/>
                    <a:ln/>
                  </pic:spPr>
                </pic:pic>
              </a:graphicData>
            </a:graphic>
          </wp:anchor>
        </w:drawing>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Il est important que les femmes et les hommes de différents groupes d'âge soient consultés. Les DG doivent être organisées dans des groupes non mixtes afin de créer un environnement sûr pour la réflexion sur les différentes expériences. Même au sein d'un groupe de même sexe, les opinions des plus jeunes peuvent être différentes de celles des plus âgés. L'animateur peut envisager de diviser les groupes unisexes en groupes d'âge plus petits.</w:t>
      </w:r>
    </w:p>
    <w:p w:rsidR="00000000" w:rsidDel="00000000" w:rsidP="00000000" w:rsidRDefault="00000000" w:rsidRPr="00000000" w14:paraId="0000000D">
      <w:pPr>
        <w:rPr/>
      </w:pPr>
      <w:r w:rsidDel="00000000" w:rsidR="00000000" w:rsidRPr="00000000">
        <w:rPr>
          <w:rtl w:val="0"/>
        </w:rPr>
        <w:t xml:space="preserve">Afin d'obtenir une image réaliste des événements passés, il convient d'être très prudent dans la formation des groupes et dans l'évaluation de leur représentativité au sein de la communauté. Il est essentiel de veiller à ce que la consultation implique une représentation complète de la communauté, y compris des groupes marginalisés. </w:t>
      </w:r>
    </w:p>
    <w:p w:rsidR="00000000" w:rsidDel="00000000" w:rsidP="00000000" w:rsidRDefault="00000000" w:rsidRPr="00000000" w14:paraId="0000000E">
      <w:pPr>
        <w:rPr/>
      </w:pPr>
      <w:r w:rsidDel="00000000" w:rsidR="00000000" w:rsidRPr="00000000">
        <w:rPr>
          <w:rtl w:val="0"/>
        </w:rPr>
        <w:t xml:space="preserve">La participation de diverses parties prenantes permet d'organiser des réunions à des heures qui permettent aux parents, aux jeunes et aux travailleurs d'y assister en fonction de leurs responsabilités et du calendrier saisonnier. </w:t>
      </w:r>
    </w:p>
    <w:p w:rsidR="00000000" w:rsidDel="00000000" w:rsidP="00000000" w:rsidRDefault="00000000" w:rsidRPr="00000000" w14:paraId="0000000F">
      <w:pPr>
        <w:rPr/>
      </w:pPr>
      <w:r w:rsidDel="00000000" w:rsidR="00000000" w:rsidRPr="00000000">
        <w:rPr>
          <w:rtl w:val="0"/>
        </w:rPr>
        <w:t xml:space="preserve">Étant donné que différents groupes peuvent avoir des expériences contradictoires, il est important de s'assurer que l'animateur enregistre les désaccords ou les opinions divergentes au sein du groupe.</w:t>
      </w:r>
    </w:p>
    <w:p w:rsidR="00000000" w:rsidDel="00000000" w:rsidP="00000000" w:rsidRDefault="00000000" w:rsidRPr="00000000" w14:paraId="00000010">
      <w:pPr>
        <w:rPr/>
      </w:pPr>
      <w:r w:rsidDel="00000000" w:rsidR="00000000" w:rsidRPr="00000000">
        <w:rPr>
          <w:rtl w:val="0"/>
        </w:rPr>
        <w:t xml:space="preserve">Les animateurs doivent susciter un retour d'information dans les domaines suivants :</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les événements passés ont-ils affecté les rôles des hommes et des femmes ? </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80" w:before="0" w:line="240" w:lineRule="auto"/>
        <w:ind w:left="785"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 femmes ou des hommes d'un certain âge et des groupes minoritaires ont-ils été touchés différemment ? </w:t>
      </w:r>
    </w:p>
    <w:p w:rsidR="00000000" w:rsidDel="00000000" w:rsidP="00000000" w:rsidRDefault="00000000" w:rsidRPr="00000000" w14:paraId="00000013">
      <w:pPr>
        <w:rPr/>
      </w:pPr>
      <w:r w:rsidDel="00000000" w:rsidR="00000000" w:rsidRPr="00000000">
        <w:rPr>
          <w:rtl w:val="0"/>
        </w:rPr>
        <w:t xml:space="preserve">Sur la base des événements passés, quelles sont les capacités des hommes, des femmes, des garçons et des filles à faire face aux crises futures, à y répondre, à s'en remettre et à s'y préparer ?</w:t>
      </w:r>
    </w:p>
    <w:p w:rsidR="00000000" w:rsidDel="00000000" w:rsidP="00000000" w:rsidRDefault="00000000" w:rsidRPr="00000000" w14:paraId="00000014">
      <w:pPr>
        <w:spacing w:after="0" w:line="240" w:lineRule="auto"/>
        <w:rPr/>
      </w:pPr>
      <w:r w:rsidDel="00000000" w:rsidR="00000000" w:rsidRPr="00000000">
        <w:rPr>
          <w:rtl w:val="0"/>
        </w:rPr>
      </w:r>
    </w:p>
    <w:p w:rsidR="00000000" w:rsidDel="00000000" w:rsidP="00000000" w:rsidRDefault="00000000" w:rsidRPr="00000000" w14:paraId="00000015">
      <w:pPr>
        <w:pStyle w:val="Heading2"/>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-25399</wp:posOffset>
                </wp:positionH>
                <wp:positionV relativeFrom="paragraph">
                  <wp:posOffset>88900</wp:posOffset>
                </wp:positionV>
                <wp:extent cx="5703570" cy="458470"/>
                <wp:effectExtent b="0" l="0" r="0" t="0"/>
                <wp:wrapNone/>
                <wp:docPr id="218" name=""/>
                <a:graphic>
                  <a:graphicData uri="http://schemas.microsoft.com/office/word/2010/wordprocessingShape">
                    <wps:wsp>
                      <wps:cNvSpPr/>
                      <wps:cNvPr id="2" name="Shape 2"/>
                      <wps:spPr>
                        <a:xfrm>
                          <a:off x="2503740" y="3560290"/>
                          <a:ext cx="5684520" cy="439420"/>
                        </a:xfrm>
                        <a:prstGeom prst="rect">
                          <a:avLst/>
                        </a:prstGeom>
                        <a:solidFill>
                          <a:srgbClr val="FFFFFF"/>
                        </a:solidFill>
                        <a:ln cap="flat" cmpd="sng" w="1905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-25399</wp:posOffset>
                </wp:positionH>
                <wp:positionV relativeFrom="paragraph">
                  <wp:posOffset>88900</wp:posOffset>
                </wp:positionV>
                <wp:extent cx="5703570" cy="458470"/>
                <wp:effectExtent b="0" l="0" r="0" t="0"/>
                <wp:wrapNone/>
                <wp:docPr id="218"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5703570" cy="4584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52071</wp:posOffset>
            </wp:positionH>
            <wp:positionV relativeFrom="paragraph">
              <wp:posOffset>116840</wp:posOffset>
            </wp:positionV>
            <wp:extent cx="370205" cy="370205"/>
            <wp:effectExtent b="0" l="0" r="0" t="0"/>
            <wp:wrapNone/>
            <wp:docPr descr="cid:image001.png@01D404BD.B91DE060" id="226" name="image2.png"/>
            <a:graphic>
              <a:graphicData uri="http://schemas.openxmlformats.org/drawingml/2006/picture">
                <pic:pic>
                  <pic:nvPicPr>
                    <pic:cNvPr descr="cid:image001.png@01D404BD.B91DE060" id="0" name="image2.png"/>
                    <pic:cNvPicPr preferRelativeResize="0"/>
                  </pic:nvPicPr>
                  <pic:blipFill>
                    <a:blip r:embed="rId12"/>
                    <a:srcRect b="0" l="0" r="0" t="0"/>
                    <a:stretch>
                      <a:fillRect/>
                    </a:stretch>
                  </pic:blipFill>
                  <pic:spPr>
                    <a:xfrm>
                      <a:off x="0" y="0"/>
                      <a:ext cx="370205" cy="370205"/>
                    </a:xfrm>
                    <a:prstGeom prst="rect"/>
                    <a:ln/>
                  </pic:spPr>
                </pic:pic>
              </a:graphicData>
            </a:graphic>
          </wp:anchor>
        </w:drawing>
      </w:r>
    </w:p>
    <w:p w:rsidR="00000000" w:rsidDel="00000000" w:rsidP="00000000" w:rsidRDefault="00000000" w:rsidRPr="00000000" w14:paraId="00000016">
      <w:pPr>
        <w:pStyle w:val="Heading2"/>
        <w:ind w:firstLine="720"/>
        <w:rPr/>
      </w:pPr>
      <w:r w:rsidDel="00000000" w:rsidR="00000000" w:rsidRPr="00000000">
        <w:rPr>
          <w:rtl w:val="0"/>
        </w:rPr>
        <w:t xml:space="preserve">Adaptation au changement climatique</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spacing w:after="0" w:line="240" w:lineRule="auto"/>
        <w:rPr/>
      </w:pPr>
      <w:r w:rsidDel="00000000" w:rsidR="00000000" w:rsidRPr="00000000">
        <w:rPr>
          <w:rtl w:val="0"/>
        </w:rPr>
        <w:t xml:space="preserve">Dressez la liste des principaux événements extrêmes. La fréquence et la gravité des phénomènes météorologiques et climatiques tels que les inondations, les sécheresses et les cyclones ont-elles changé ? Qu'en est-il des problèmes de santé ? Y a-t-il eu de nouveaux problèmes émergents (à transmission vectorielle ou hydrique, susceptibles d'être affectés par les changements climatiques) ? Les observations de la communauté peuvent être comparées aux tendances mesurées par les services météorologiques et de gestion des catastrophes. </w:t>
      </w:r>
    </w:p>
    <w:p w:rsidR="00000000" w:rsidDel="00000000" w:rsidP="00000000" w:rsidRDefault="00000000" w:rsidRPr="00000000" w14:paraId="00000019">
      <w:pPr>
        <w:spacing w:after="0" w:line="240" w:lineRule="auto"/>
        <w:rPr/>
      </w:pPr>
      <w:r w:rsidDel="00000000" w:rsidR="00000000" w:rsidRPr="00000000">
        <w:rPr>
          <w:rtl w:val="0"/>
        </w:rPr>
      </w:r>
    </w:p>
    <w:p w:rsidR="00000000" w:rsidDel="00000000" w:rsidP="00000000" w:rsidRDefault="00000000" w:rsidRPr="00000000" w14:paraId="0000001A">
      <w:pPr>
        <w:spacing w:after="0" w:line="240" w:lineRule="auto"/>
        <w:rPr/>
      </w:pPr>
      <w:r w:rsidDel="00000000" w:rsidR="00000000" w:rsidRPr="00000000">
        <w:rPr>
          <w:rtl w:val="0"/>
        </w:rPr>
        <w:t xml:space="preserve">Il est donc important de trianguler les informations et de poser des questions de clarification afin d'éviter de mal interpréter des changements apparemment radicaux.</w:t>
      </w:r>
    </w:p>
    <w:p w:rsidR="00000000" w:rsidDel="00000000" w:rsidP="00000000" w:rsidRDefault="00000000" w:rsidRPr="00000000" w14:paraId="0000001B">
      <w:pPr>
        <w:rPr/>
      </w:pPr>
      <w:bookmarkStart w:colFirst="0" w:colLast="0" w:name="_heading=h.1fob9te" w:id="2"/>
      <w:bookmarkEnd w:id="2"/>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Pour plus de ressources sur la manière d'intégrer les considérations relatives au changement climatique dans cet outil, voir :</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5" w:right="0" w:hanging="360"/>
        <w:jc w:val="both"/>
        <w:rPr/>
      </w:pPr>
      <w:hyperlink r:id="rId13">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Intégrer le changement climatique et les risques urbains dans l'EVC pages 98</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80" w:before="0" w:line="240" w:lineRule="auto"/>
        <w:ind w:left="785" w:right="0" w:hanging="360"/>
        <w:jc w:val="both"/>
        <w:rPr>
          <w:rFonts w:ascii="Calibri" w:cs="Calibri" w:eastAsia="Calibri" w:hAnsi="Calibri"/>
          <w:b w:val="0"/>
          <w:i w:val="0"/>
          <w:smallCaps w:val="0"/>
          <w:strike w:val="0"/>
          <w:color w:val="0563c1"/>
          <w:sz w:val="24"/>
          <w:szCs w:val="24"/>
          <w:u w:val="single"/>
          <w:shd w:fill="auto" w:val="clear"/>
          <w:vertAlign w:val="baseline"/>
        </w:rPr>
      </w:pPr>
      <w:r w:rsidDel="00000000" w:rsidR="00000000" w:rsidRPr="00000000">
        <w:fldChar w:fldCharType="begin"/>
        <w:instrText xml:space="preserve"> HYPERLINK "https://www.dropbox.com/s/dr1ghyxsycap0u7/3CA.FacilitatorsGuide.FINAL.pdf?dl=0" </w:instrText>
        <w:fldChar w:fldCharType="separate"/>
      </w:r>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Boîte à outils 3CA développée par CADRIM page 82</w:t>
      </w:r>
    </w:p>
    <w:p w:rsidR="00000000" w:rsidDel="00000000" w:rsidP="00000000" w:rsidRDefault="00000000" w:rsidRPr="00000000" w14:paraId="0000001F">
      <w:pPr>
        <w:rPr/>
      </w:pPr>
      <w:r w:rsidDel="00000000" w:rsidR="00000000" w:rsidRPr="00000000">
        <w:fldChar w:fldCharType="end"/>
      </w:r>
      <w:r w:rsidDel="00000000" w:rsidR="00000000" w:rsidRPr="00000000">
        <w:rPr>
          <w:rtl w:val="0"/>
        </w:rPr>
      </w:r>
    </w:p>
    <w:p w:rsidR="00000000" w:rsidDel="00000000" w:rsidP="00000000" w:rsidRDefault="00000000" w:rsidRPr="00000000" w14:paraId="00000020">
      <w:pPr>
        <w:pStyle w:val="Heading2"/>
        <w:rPr/>
      </w:pPr>
      <w:r w:rsidDel="00000000" w:rsidR="00000000" w:rsidRPr="00000000">
        <w:rPr>
          <w:rtl w:val="0"/>
        </w:rPr>
        <w:tab/>
        <w:t xml:space="preserve">Moyens de subsistance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5734050" cy="458470"/>
                <wp:effectExtent b="0" l="0" r="0" t="0"/>
                <wp:wrapNone/>
                <wp:docPr id="221" name=""/>
                <a:graphic>
                  <a:graphicData uri="http://schemas.microsoft.com/office/word/2010/wordprocessingShape">
                    <wps:wsp>
                      <wps:cNvSpPr/>
                      <wps:cNvPr id="5" name="Shape 5"/>
                      <wps:spPr>
                        <a:xfrm>
                          <a:off x="2488500" y="3560290"/>
                          <a:ext cx="5715000" cy="439420"/>
                        </a:xfrm>
                        <a:prstGeom prst="rect">
                          <a:avLst/>
                        </a:prstGeom>
                        <a:solidFill>
                          <a:srgbClr val="FFFFFF"/>
                        </a:solidFill>
                        <a:ln cap="flat" cmpd="sng" w="1905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-101599</wp:posOffset>
                </wp:positionV>
                <wp:extent cx="5734050" cy="458470"/>
                <wp:effectExtent b="0" l="0" r="0" t="0"/>
                <wp:wrapNone/>
                <wp:docPr id="221"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5734050" cy="4584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51437</wp:posOffset>
            </wp:positionH>
            <wp:positionV relativeFrom="paragraph">
              <wp:posOffset>-91175</wp:posOffset>
            </wp:positionV>
            <wp:extent cx="419100" cy="419100"/>
            <wp:effectExtent b="0" l="0" r="0" t="0"/>
            <wp:wrapNone/>
            <wp:docPr id="223" name="image3.png"/>
            <a:graphic>
              <a:graphicData uri="http://schemas.openxmlformats.org/drawingml/2006/picture">
                <pic:pic>
                  <pic:nvPicPr>
                    <pic:cNvPr id="0" name="image3.png"/>
                    <pic:cNvPicPr preferRelativeResize="0"/>
                  </pic:nvPicPr>
                  <pic:blipFill>
                    <a:blip r:embed="rId15"/>
                    <a:srcRect b="33384" l="54227" r="20817" t="26678"/>
                    <a:stretch>
                      <a:fillRect/>
                    </a:stretch>
                  </pic:blipFill>
                  <pic:spPr>
                    <a:xfrm>
                      <a:off x="0" y="0"/>
                      <a:ext cx="419100" cy="419100"/>
                    </a:xfrm>
                    <a:prstGeom prst="rect"/>
                    <a:ln/>
                  </pic:spPr>
                </pic:pic>
              </a:graphicData>
            </a:graphic>
          </wp:anchor>
        </w:drawing>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Grâce à un profil historique, nous pouvons remonter le fil des événements survenus dans le passé, observer les éventuels changements dans l'environnement et dans les comportements de la population et comprendre les interrelations entre tous ces facteurs. </w:t>
      </w:r>
    </w:p>
    <w:p w:rsidR="00000000" w:rsidDel="00000000" w:rsidP="00000000" w:rsidRDefault="00000000" w:rsidRPr="00000000" w14:paraId="00000023">
      <w:pPr>
        <w:rPr>
          <w:b w:val="1"/>
        </w:rPr>
      </w:pPr>
      <w:r w:rsidDel="00000000" w:rsidR="00000000" w:rsidRPr="00000000">
        <w:rPr>
          <w:b w:val="1"/>
          <w:rtl w:val="0"/>
        </w:rPr>
        <w:t xml:space="preserve">Mesures recommandées :</w:t>
      </w:r>
    </w:p>
    <w:p w:rsidR="00000000" w:rsidDel="00000000" w:rsidP="00000000" w:rsidRDefault="00000000" w:rsidRPr="00000000" w14:paraId="00000024">
      <w:pPr>
        <w:rPr/>
      </w:pPr>
      <w:r w:rsidDel="00000000" w:rsidR="00000000" w:rsidRPr="00000000">
        <w:rPr>
          <w:rtl w:val="0"/>
        </w:rPr>
        <w:t xml:space="preserve">Déterminez clairement les questions sur lesquelles vous souhaitez recueillir des informations et la période à laquelle nous nous référons (de XXX à aujourd'hui) : sécurité alimentaire, menaces, répartition des terres, industrie, évolution de l'agriculture, etc.</w:t>
      </w:r>
    </w:p>
    <w:p w:rsidR="00000000" w:rsidDel="00000000" w:rsidP="00000000" w:rsidRDefault="00000000" w:rsidRPr="00000000" w14:paraId="00000025">
      <w:pPr>
        <w:rPr/>
      </w:pPr>
      <w:r w:rsidDel="00000000" w:rsidR="00000000" w:rsidRPr="00000000">
        <w:rPr>
          <w:rtl w:val="0"/>
        </w:rPr>
        <w:t xml:space="preserve">Planifiez une discussion de groupe et invitez les participants capables de fournir des informations historiques sur la communauté. </w:t>
      </w:r>
    </w:p>
    <w:p w:rsidR="00000000" w:rsidDel="00000000" w:rsidP="00000000" w:rsidRDefault="00000000" w:rsidRPr="00000000" w14:paraId="00000026">
      <w:pPr>
        <w:rPr/>
      </w:pPr>
      <w:r w:rsidDel="00000000" w:rsidR="00000000" w:rsidRPr="00000000">
        <w:rPr>
          <w:rtl w:val="0"/>
        </w:rPr>
        <w:t xml:space="preserve">Assurez-vous que les participants connaissent à l'avance le déroulement du groupe de discussion et qu'ils comprennent que les informations ne seront utilisées qu'à des fins d'analyse. </w:t>
      </w:r>
    </w:p>
    <w:p w:rsidR="00000000" w:rsidDel="00000000" w:rsidP="00000000" w:rsidRDefault="00000000" w:rsidRPr="00000000" w14:paraId="00000027">
      <w:pPr>
        <w:rPr/>
      </w:pPr>
      <w:r w:rsidDel="00000000" w:rsidR="00000000" w:rsidRPr="00000000">
        <w:rPr>
          <w:rtl w:val="0"/>
        </w:rPr>
        <w:t xml:space="preserve">Au niveau municipal, interroger les acteurs clés et planifier les réunions à l'avance. </w:t>
      </w:r>
    </w:p>
    <w:p w:rsidR="00000000" w:rsidDel="00000000" w:rsidP="00000000" w:rsidRDefault="00000000" w:rsidRPr="00000000" w14:paraId="00000028">
      <w:pPr>
        <w:rPr/>
      </w:pPr>
      <w:r w:rsidDel="00000000" w:rsidR="00000000" w:rsidRPr="00000000">
        <w:rPr>
          <w:rtl w:val="0"/>
        </w:rPr>
        <w:t xml:space="preserve">Tenez compte des éléments pertinents tels que</w:t>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ont-ils réagi lorsque des moments difficiles se sont produits auparavant ?</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Quelles stratégies de subsistance ont été mises en œuvre par la population ? Lesquelles ont fonctionné ? Lesquelles n'ont pas fonctionné ? Ont-elles eu des conséquences (positives ou négatives) ? </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Essayer d'identifier et de comprendre les changements dans les activités de subsistance au cours de la période analysée.</w:t>
      </w:r>
    </w:p>
    <w:p w:rsidR="00000000" w:rsidDel="00000000" w:rsidP="00000000" w:rsidRDefault="00000000" w:rsidRPr="00000000" w14:paraId="000000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Identifier les tendances dans les moyens de subsistance (migrations, sécheresses, etc.), quand ont-elles commencé ?</w:t>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Essayer d'identifier et de comprendre les changements dans l'accès des hommes et des femmes aux activités de subsistance.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Conseils :  </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Avant de commencer, préparez une liste de questions qui facilitera l'analyse : N'oubliez pas que les questions doivent se concentrer sur les acteurs clés identifiés (dirigeants communautaires, fonctionnaires municipaux, acteurs du secteur privé, etc :)</w:t>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gagnaient-ils leur vie auparavant ? </w:t>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Quels étaient les principaux services de base auxquels ils avaient accès auparavant et comment ces services ont-ils évolué ? </w:t>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Quels types d'entreprises et de commerces sont arrivés dans la communauté ? Quand ?</w:t>
      </w:r>
    </w:p>
    <w:p w:rsidR="00000000" w:rsidDel="00000000" w:rsidP="00000000" w:rsidRDefault="00000000" w:rsidRPr="00000000" w14:paraId="000000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Quels sont les principaux moyens de subsistance existant actuellement dans la communauté ? </w:t>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Avec le recul, pouvons-nous constater des différences entre les activités traditionnellement exercées par les hommes et les femmes ? Des changements ?  </w:t>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Toute autre question pertinente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 niveau municipal, nous devons prendre en considération les données sur les tendances de la délinquance provenant des registres du ministère de la Justice ou de la police et nous devons nous assurer que des représentants du service des statistiques sont présents en tant qu'acteurs clés afin de mieux comprendre ces tendances.</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8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 niveau urbain, nous devons tenir compte de l'augmentation de la demande dans les zones de libre-échange et des tendances des variables macroéconomiques similaires. Essayez de trouver la relation directe entre des variables telles que les maladies et l'augmentation des dépenses ou analysez comment les questions de genre peuvent affecter à la fois le groupe et l'individu. Enfin, considérez les questions d'inclusion socio-économique des groupes vulnérables (personnes vivant avec un handicap, personnes âgées, ...).</w:t>
      </w:r>
    </w:p>
    <w:p w:rsidR="00000000" w:rsidDel="00000000" w:rsidP="00000000" w:rsidRDefault="00000000" w:rsidRPr="00000000" w14:paraId="0000003A">
      <w:pPr>
        <w:rPr>
          <w:i w:val="1"/>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177800</wp:posOffset>
                </wp:positionV>
                <wp:extent cx="5734050" cy="458470"/>
                <wp:effectExtent b="0" l="0" r="0" t="0"/>
                <wp:wrapNone/>
                <wp:docPr id="222" name=""/>
                <a:graphic>
                  <a:graphicData uri="http://schemas.microsoft.com/office/word/2010/wordprocessingShape">
                    <wps:wsp>
                      <wps:cNvSpPr/>
                      <wps:cNvPr id="6" name="Shape 6"/>
                      <wps:spPr>
                        <a:xfrm>
                          <a:off x="2488500" y="3560290"/>
                          <a:ext cx="5715000" cy="439420"/>
                        </a:xfrm>
                        <a:prstGeom prst="rect">
                          <a:avLst/>
                        </a:prstGeom>
                        <a:solidFill>
                          <a:srgbClr val="FFFFFF"/>
                        </a:solidFill>
                        <a:ln cap="flat" cmpd="sng" w="1905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177800</wp:posOffset>
                </wp:positionV>
                <wp:extent cx="5734050" cy="458470"/>
                <wp:effectExtent b="0" l="0" r="0" t="0"/>
                <wp:wrapNone/>
                <wp:docPr id="222" name="image9.png"/>
                <a:graphic>
                  <a:graphicData uri="http://schemas.openxmlformats.org/drawingml/2006/picture">
                    <pic:pic>
                      <pic:nvPicPr>
                        <pic:cNvPr id="0" name="image9.png"/>
                        <pic:cNvPicPr preferRelativeResize="0"/>
                      </pic:nvPicPr>
                      <pic:blipFill>
                        <a:blip r:embed="rId16"/>
                        <a:srcRect/>
                        <a:stretch>
                          <a:fillRect/>
                        </a:stretch>
                      </pic:blipFill>
                      <pic:spPr>
                        <a:xfrm>
                          <a:off x="0" y="0"/>
                          <a:ext cx="5734050" cy="4584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-30479</wp:posOffset>
            </wp:positionH>
            <wp:positionV relativeFrom="paragraph">
              <wp:posOffset>174218</wp:posOffset>
            </wp:positionV>
            <wp:extent cx="487680" cy="487680"/>
            <wp:effectExtent b="0" l="0" r="0" t="0"/>
            <wp:wrapNone/>
            <wp:docPr id="224" name="image4.png"/>
            <a:graphic>
              <a:graphicData uri="http://schemas.openxmlformats.org/drawingml/2006/picture">
                <pic:pic>
                  <pic:nvPicPr>
                    <pic:cNvPr id="0" name="image4.png"/>
                    <pic:cNvPicPr preferRelativeResize="0"/>
                  </pic:nvPicPr>
                  <pic:blipFill>
                    <a:blip r:embed="rId17"/>
                    <a:srcRect b="0" l="0" r="0" t="0"/>
                    <a:stretch>
                      <a:fillRect/>
                    </a:stretch>
                  </pic:blipFill>
                  <pic:spPr>
                    <a:xfrm>
                      <a:off x="0" y="0"/>
                      <a:ext cx="487680" cy="487680"/>
                    </a:xfrm>
                    <a:prstGeom prst="rect"/>
                    <a:ln/>
                  </pic:spPr>
                </pic:pic>
              </a:graphicData>
            </a:graphic>
          </wp:anchor>
        </w:drawing>
      </w:r>
    </w:p>
    <w:p w:rsidR="00000000" w:rsidDel="00000000" w:rsidP="00000000" w:rsidRDefault="00000000" w:rsidRPr="00000000" w14:paraId="0000003B">
      <w:pPr>
        <w:pStyle w:val="Heading2"/>
        <w:rPr/>
      </w:pPr>
      <w:r w:rsidDel="00000000" w:rsidR="00000000" w:rsidRPr="00000000">
        <w:rPr>
          <w:rtl w:val="0"/>
        </w:rPr>
        <w:tab/>
        <w:t xml:space="preserve">Santé</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Ce n'est pas l'un des outils inclus dans les lignes directrices CBHFA (santé et premiers secours communautaires). L'animateur peut avoir la même discussion que ci-dessus à propos d'une maladie extrême et nouvelle ou d'un schéma de risque sanitaire, c'est-à-dire des niveaux élevés de maladies non transmissibles, des épidémies, des grossesses chez les adolescentes, la toxicomanie, la violence au sein de la communauté, etc.</w:t>
      </w:r>
    </w:p>
    <w:p w:rsidR="00000000" w:rsidDel="00000000" w:rsidP="00000000" w:rsidRDefault="00000000" w:rsidRPr="00000000" w14:paraId="0000003E">
      <w:pPr>
        <w:rPr/>
      </w:pPr>
      <w:r w:rsidDel="00000000" w:rsidR="00000000" w:rsidRPr="00000000">
        <w:rPr>
          <w:rtl w:val="0"/>
        </w:rPr>
        <w:t xml:space="preserve">Lors de l'identification du domaine d'intérêt, du calendrier et des participants (étapes 1 et 2), il convient de s'assurer que les participants ayant des connaissances en matière de santé et de risques liés aux épidémies sont identifiés et qu'ils participent activement à la discussion. Il est préférable d'avoir dans l'équipe un animateur ayant des connaissances en matière de santé.</w:t>
      </w:r>
    </w:p>
    <w:p w:rsidR="00000000" w:rsidDel="00000000" w:rsidP="00000000" w:rsidRDefault="00000000" w:rsidRPr="00000000" w14:paraId="0000003F">
      <w:pPr>
        <w:rPr/>
      </w:pPr>
      <w:r w:rsidDel="00000000" w:rsidR="00000000" w:rsidRPr="00000000">
        <w:rPr>
          <w:rtl w:val="0"/>
        </w:rPr>
        <w:t xml:space="preserve">Lors de l'identification des problèmes sanitaires et épidémiques, veillez à être aussi précis que possible en termes de dates, de nombre de personnes touchées, etc. Si l'épidémie est identifiée comme un risque majeur, il peut être utile de passer en revue la terminologie clé afin de clarifier les termes.</w:t>
      </w:r>
    </w:p>
    <w:p w:rsidR="00000000" w:rsidDel="00000000" w:rsidP="00000000" w:rsidRDefault="00000000" w:rsidRPr="00000000" w14:paraId="00000040">
      <w:pPr>
        <w:rPr/>
      </w:pPr>
      <w:r w:rsidDel="00000000" w:rsidR="00000000" w:rsidRPr="00000000">
        <w:rPr>
          <w:rtl w:val="0"/>
        </w:rPr>
        <w:t xml:space="preserve">Veillez à ce que les informations enregistrées soient conformes aux informations secondaires existantes et aux données du ministère de la santé concernant la zone géographique sur laquelle vous travaillez. Ne pas susciter de craintes et être clair dans les informations partagées et collectées.</w:t>
      </w:r>
    </w:p>
    <w:sectPr>
      <w:headerReference r:id="rId18" w:type="default"/>
      <w:footerReference r:id="rId1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hyperlink r:id="rId1">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 Évaluation de la vulnérabilité et des capacités (EVC) sensible au genre et à la diversité. FICR</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footnote>
  <w:footnote w:id="1">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hyperlink r:id="rId2">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 Centre climatique de la Croix-Rouge et du Croissant-Rouge. Comment prendre en compte le changement climatique dans les évaluations de la vulnérabilité et des capacités ? 2012.</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Profil historique et visualisation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5778500</wp:posOffset>
              </wp:positionH>
              <wp:positionV relativeFrom="paragraph">
                <wp:posOffset>0</wp:posOffset>
              </wp:positionV>
              <wp:extent cx="119578" cy="214581"/>
              <wp:effectExtent b="0" l="0" r="0" t="0"/>
              <wp:wrapNone/>
              <wp:docPr id="219" name=""/>
              <a:graphic>
                <a:graphicData uri="http://schemas.microsoft.com/office/word/2010/wordprocessingShape">
                  <wps:wsp>
                    <wps:cNvSpPr/>
                    <wps:cNvPr id="3" name="Shape 3"/>
                    <wps:spPr>
                      <a:xfrm>
                        <a:off x="5292561" y="3679060"/>
                        <a:ext cx="106878" cy="201881"/>
                      </a:xfrm>
                      <a:prstGeom prst="rect">
                        <a:avLst/>
                      </a:prstGeom>
                      <a:solidFill>
                        <a:srgbClr val="00A0DC"/>
                      </a:solidFill>
                      <a:ln cap="flat" cmpd="sng" w="1270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5778500</wp:posOffset>
              </wp:positionH>
              <wp:positionV relativeFrom="paragraph">
                <wp:posOffset>0</wp:posOffset>
              </wp:positionV>
              <wp:extent cx="119578" cy="214581"/>
              <wp:effectExtent b="0" l="0" r="0" t="0"/>
              <wp:wrapNone/>
              <wp:docPr id="219"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119578" cy="214581"/>
                      </a:xfrm>
                      <a:prstGeom prst="rect"/>
                      <a:ln/>
                    </pic:spPr>
                  </pic:pic>
                </a:graphicData>
              </a:graphic>
            </wp:anchor>
          </w:drawing>
        </mc:Fallback>
      </mc:AlternateConten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85"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en-GB"/>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07B6E"/>
    <w:pPr>
      <w:jc w:val="both"/>
    </w:pPr>
    <w:rPr>
      <w:sz w:val="24"/>
      <w:lang w:val="en-US"/>
    </w:rPr>
  </w:style>
  <w:style w:type="paragraph" w:styleId="Titre1">
    <w:name w:val="heading 1"/>
    <w:basedOn w:val="Normal"/>
    <w:next w:val="Normal"/>
    <w:link w:val="Titre1Car"/>
    <w:uiPriority w:val="9"/>
    <w:qFormat w:val="1"/>
    <w:rsid w:val="006B2C92"/>
    <w:pPr>
      <w:keepNext w:val="1"/>
      <w:keepLines w:val="1"/>
      <w:spacing w:after="0" w:before="240" w:line="240" w:lineRule="auto"/>
      <w:outlineLvl w:val="0"/>
    </w:pPr>
    <w:rPr>
      <w:rFonts w:asciiTheme="majorHAnsi" w:cstheme="majorBidi" w:eastAsiaTheme="majorEastAsia" w:hAnsiTheme="majorHAnsi"/>
      <w:color w:val="2f5496" w:themeColor="accent1" w:themeShade="0000BF"/>
      <w:sz w:val="32"/>
      <w:szCs w:val="32"/>
    </w:rPr>
  </w:style>
  <w:style w:type="paragraph" w:styleId="Titre2">
    <w:name w:val="heading 2"/>
    <w:basedOn w:val="Normal"/>
    <w:next w:val="Normal"/>
    <w:link w:val="Titre2Car"/>
    <w:uiPriority w:val="9"/>
    <w:unhideWhenUsed w:val="1"/>
    <w:qFormat w:val="1"/>
    <w:rsid w:val="006B2C92"/>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6B2C92"/>
    <w:rPr>
      <w:rFonts w:asciiTheme="majorHAnsi" w:cstheme="majorBidi" w:eastAsiaTheme="majorEastAsia" w:hAnsiTheme="majorHAnsi"/>
      <w:color w:val="2f5496" w:themeColor="accent1" w:themeShade="0000BF"/>
      <w:sz w:val="32"/>
      <w:szCs w:val="32"/>
      <w:lang w:val="en-US"/>
    </w:rPr>
  </w:style>
  <w:style w:type="character" w:styleId="Titre2Car" w:customStyle="1">
    <w:name w:val="Titre 2 Car"/>
    <w:basedOn w:val="Policepardfaut"/>
    <w:link w:val="Titre2"/>
    <w:uiPriority w:val="9"/>
    <w:rsid w:val="006B2C92"/>
    <w:rPr>
      <w:rFonts w:asciiTheme="majorHAnsi" w:cstheme="majorBidi" w:eastAsiaTheme="majorEastAsia" w:hAnsiTheme="majorHAnsi"/>
      <w:color w:val="2f5496" w:themeColor="accent1" w:themeShade="0000BF"/>
      <w:sz w:val="26"/>
      <w:szCs w:val="26"/>
    </w:rPr>
  </w:style>
  <w:style w:type="paragraph" w:styleId="Paragraphedeliste">
    <w:name w:val="List Paragraph"/>
    <w:basedOn w:val="Normal"/>
    <w:uiPriority w:val="34"/>
    <w:qFormat w:val="1"/>
    <w:rsid w:val="006B2C92"/>
    <w:pPr>
      <w:spacing w:after="80" w:line="240" w:lineRule="auto"/>
      <w:ind w:left="720"/>
      <w:contextualSpacing w:val="1"/>
    </w:pPr>
    <w:rPr>
      <w:rFonts w:eastAsiaTheme="minorEastAsia"/>
      <w:lang w:eastAsia="en-GB"/>
    </w:rPr>
  </w:style>
  <w:style w:type="paragraph" w:styleId="Pieddepage">
    <w:name w:val="footer"/>
    <w:basedOn w:val="Normal"/>
    <w:link w:val="PieddepageCar"/>
    <w:uiPriority w:val="99"/>
    <w:unhideWhenUsed w:val="1"/>
    <w:rsid w:val="006B2C92"/>
    <w:pPr>
      <w:tabs>
        <w:tab w:val="center" w:pos="4513"/>
        <w:tab w:val="right" w:pos="9026"/>
      </w:tabs>
      <w:spacing w:after="0" w:line="240" w:lineRule="auto"/>
    </w:pPr>
    <w:rPr>
      <w:rFonts w:ascii="Arial" w:cs="Times New Roman" w:eastAsia="Cambria" w:hAnsi="Arial"/>
      <w:szCs w:val="24"/>
    </w:rPr>
  </w:style>
  <w:style w:type="character" w:styleId="PieddepageCar" w:customStyle="1">
    <w:name w:val="Pied de page Car"/>
    <w:basedOn w:val="Policepardfaut"/>
    <w:link w:val="Pieddepage"/>
    <w:uiPriority w:val="99"/>
    <w:rsid w:val="006B2C92"/>
    <w:rPr>
      <w:rFonts w:ascii="Arial" w:cs="Times New Roman" w:eastAsia="Cambria" w:hAnsi="Arial"/>
      <w:szCs w:val="24"/>
      <w:lang w:val="en-US"/>
    </w:rPr>
  </w:style>
  <w:style w:type="paragraph" w:styleId="En-tte">
    <w:name w:val="header"/>
    <w:basedOn w:val="Normal"/>
    <w:link w:val="En-tteCar"/>
    <w:uiPriority w:val="99"/>
    <w:unhideWhenUsed w:val="1"/>
    <w:rsid w:val="006B2C92"/>
    <w:pPr>
      <w:tabs>
        <w:tab w:val="center" w:pos="4513"/>
        <w:tab w:val="right" w:pos="9026"/>
      </w:tabs>
      <w:spacing w:after="0" w:line="240" w:lineRule="auto"/>
    </w:pPr>
  </w:style>
  <w:style w:type="character" w:styleId="En-tteCar" w:customStyle="1">
    <w:name w:val="En-tête Car"/>
    <w:basedOn w:val="Policepardfaut"/>
    <w:link w:val="En-tte"/>
    <w:uiPriority w:val="99"/>
    <w:rsid w:val="006B2C92"/>
  </w:style>
  <w:style w:type="paragraph" w:styleId="Textedebulles">
    <w:name w:val="Balloon Text"/>
    <w:basedOn w:val="Normal"/>
    <w:link w:val="TextedebullesCar"/>
    <w:uiPriority w:val="99"/>
    <w:semiHidden w:val="1"/>
    <w:unhideWhenUsed w:val="1"/>
    <w:rsid w:val="00BA0B1F"/>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BA0B1F"/>
    <w:rPr>
      <w:rFonts w:ascii="Segoe UI" w:cs="Segoe UI" w:hAnsi="Segoe UI"/>
      <w:sz w:val="18"/>
      <w:szCs w:val="18"/>
    </w:rPr>
  </w:style>
  <w:style w:type="paragraph" w:styleId="Notedebasdepage">
    <w:name w:val="footnote text"/>
    <w:basedOn w:val="Normal"/>
    <w:link w:val="NotedebasdepageCar"/>
    <w:uiPriority w:val="99"/>
    <w:unhideWhenUsed w:val="1"/>
    <w:rsid w:val="00BA0B1F"/>
    <w:pPr>
      <w:spacing w:after="0" w:line="240" w:lineRule="auto"/>
    </w:pPr>
    <w:rPr>
      <w:sz w:val="20"/>
      <w:szCs w:val="20"/>
    </w:rPr>
  </w:style>
  <w:style w:type="character" w:styleId="NotedebasdepageCar" w:customStyle="1">
    <w:name w:val="Note de bas de page Car"/>
    <w:basedOn w:val="Policepardfaut"/>
    <w:link w:val="Notedebasdepage"/>
    <w:uiPriority w:val="99"/>
    <w:rsid w:val="00BA0B1F"/>
    <w:rPr>
      <w:sz w:val="20"/>
      <w:szCs w:val="20"/>
    </w:rPr>
  </w:style>
  <w:style w:type="character" w:styleId="Appelnotedebasdep">
    <w:name w:val="footnote reference"/>
    <w:basedOn w:val="Policepardfaut"/>
    <w:uiPriority w:val="99"/>
    <w:semiHidden w:val="1"/>
    <w:unhideWhenUsed w:val="1"/>
    <w:rsid w:val="00BA0B1F"/>
    <w:rPr>
      <w:vertAlign w:val="superscript"/>
    </w:rPr>
  </w:style>
  <w:style w:type="character" w:styleId="Lienhypertexte">
    <w:name w:val="Hyperlink"/>
    <w:basedOn w:val="Policepardfaut"/>
    <w:uiPriority w:val="99"/>
    <w:unhideWhenUsed w:val="1"/>
    <w:rsid w:val="00077224"/>
    <w:rPr>
      <w:color w:val="0563c1" w:themeColor="hyperlink"/>
      <w:u w:val="single"/>
    </w:rPr>
  </w:style>
  <w:style w:type="character" w:styleId="UnresolvedMention" w:customStyle="1">
    <w:name w:val="Unresolved Mention"/>
    <w:basedOn w:val="Policepardfaut"/>
    <w:uiPriority w:val="99"/>
    <w:semiHidden w:val="1"/>
    <w:unhideWhenUsed w:val="1"/>
    <w:rsid w:val="00077224"/>
    <w:rPr>
      <w:color w:val="808080"/>
      <w:shd w:color="auto" w:fill="e6e6e6" w:val="clear"/>
    </w:rPr>
  </w:style>
  <w:style w:type="paragraph" w:styleId="Lgende">
    <w:name w:val="caption"/>
    <w:basedOn w:val="Normal"/>
    <w:next w:val="Normal"/>
    <w:uiPriority w:val="35"/>
    <w:unhideWhenUsed w:val="1"/>
    <w:qFormat w:val="1"/>
    <w:rsid w:val="005F31CC"/>
    <w:pPr>
      <w:spacing w:after="200" w:line="240" w:lineRule="auto"/>
    </w:pPr>
    <w:rPr>
      <w:i w:val="1"/>
      <w:iCs w:val="1"/>
      <w:color w:val="44546a" w:themeColor="text2"/>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1.png"/><Relationship Id="rId13" Type="http://schemas.openxmlformats.org/officeDocument/2006/relationships/hyperlink" Target="http://www.ifrc.org/Global/Publications/disasters/reducing_risks/VCA/1260200-VCA-EN-LR2.pdf"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7.png"/><Relationship Id="rId15" Type="http://schemas.openxmlformats.org/officeDocument/2006/relationships/image" Target="media/image3.png"/><Relationship Id="rId14" Type="http://schemas.openxmlformats.org/officeDocument/2006/relationships/image" Target="media/image8.png"/><Relationship Id="rId17" Type="http://schemas.openxmlformats.org/officeDocument/2006/relationships/image" Target="media/image4.png"/><Relationship Id="rId16" Type="http://schemas.openxmlformats.org/officeDocument/2006/relationships/image" Target="media/image9.png"/><Relationship Id="rId5" Type="http://schemas.openxmlformats.org/officeDocument/2006/relationships/numbering" Target="numbering.xml"/><Relationship Id="rId19" Type="http://schemas.openxmlformats.org/officeDocument/2006/relationships/footer" Target="footer1.xml"/><Relationship Id="rId6" Type="http://schemas.openxmlformats.org/officeDocument/2006/relationships/styles" Target="styles.xml"/><Relationship Id="rId18" Type="http://schemas.openxmlformats.org/officeDocument/2006/relationships/header" Target="header1.xml"/><Relationship Id="rId7" Type="http://schemas.openxmlformats.org/officeDocument/2006/relationships/customXml" Target="../customXML/item1.xml"/><Relationship Id="rId8" Type="http://schemas.openxmlformats.org/officeDocument/2006/relationships/hyperlink" Target="https://www.ifrcvca.org/historicalprofil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docs.wixstatic.com/ugd/7baf5b_ece27859d67347539a37a75c700cb484.pdf" TargetMode="External"/><Relationship Id="rId2" Type="http://schemas.openxmlformats.org/officeDocument/2006/relationships/hyperlink" Target="https://docs.wixstatic.com/ugd/7baf5b_ea7bdbb5fa454ec59dc69ed30e1d326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55tduM1J8Xo4l01Z9CMes8gJfg==">CgMxLjAyCGguZ2pkZ3hzMgloLjMwajB6bGwyCWguMWZvYjl0ZTgAciExbjlQeFNSTzlJVEdFSDJOSlZSajRUQ3RoMlFMaDAtVmc=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2022-11-21T09:49:00.0000000Z</dcterms:created>
  <dc:creator>Lucia ROBLES DIOS</dc:creator>
</cp:coreProperties>
</file>