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202" coordsize="21600,21600" o:spt="202.0" path="m0,0l0,21600,21600,21600,21600,0xe">
            <v:stroke joinstyle="miter"/>
            <v:path o:connecttype="rect" gradientshapeok="t"/>
          </v:shapetype>
        </w:pict>
      </w:r>
    </w:p>
    <w:p w:rsidR="00000000" w:rsidDel="00000000" w:rsidP="00000000" w:rsidRDefault="00000000" w:rsidRPr="00000000" w14:paraId="00000002">
      <w:pPr>
        <w:pStyle w:val="Heading1"/>
        <w:pBdr>
          <w:bottom w:color="00a0dc" w:space="1" w:sz="12" w:val="single"/>
        </w:pBdr>
        <w:jc w:val="center"/>
        <w:rPr>
          <w:color w:val="00a0dc"/>
          <w:sz w:val="40"/>
          <w:szCs w:val="40"/>
        </w:rPr>
      </w:pPr>
      <w:bookmarkStart w:colFirst="0" w:colLast="0" w:name="_heading=h.gjdgxs" w:id="0"/>
      <w:bookmarkEnd w:id="0"/>
      <w:r w:rsidDel="00000000" w:rsidR="00000000" w:rsidRPr="00000000">
        <w:rPr>
          <w:color w:val="00a0dc"/>
          <w:sz w:val="40"/>
          <w:szCs w:val="40"/>
          <w:rtl w:val="0"/>
        </w:rPr>
        <w:t xml:space="preserve">Inclure des considérations complémentaires sur le genre et la diversité, le climat, les moyens de subsistance et la santé dans le calendrier saisonnier </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bookmarkStart w:colFirst="0" w:colLast="0" w:name="_heading=h.30j0zll" w:id="1"/>
      <w:bookmarkEnd w:id="1"/>
      <w:r w:rsidDel="00000000" w:rsidR="00000000" w:rsidRPr="00000000">
        <w:rPr>
          <w:rtl w:val="0"/>
        </w:rPr>
        <w:t xml:space="preserve">Ce qui suit est une liste de suggestions élaborée par des praticiens de l’EVC de diverses régions du monde en vue d’adapter ou d’améliorer certains aspects des outils de l’EVCA. L’essentiel a été intégré dans les outils révisés, mais vous trouverez ci-après des explications complémentaires et des propositions d’ajouts en lien avec un ou plusieurs des thèmes suivants : </w:t>
      </w:r>
    </w:p>
    <w:p w:rsidR="00000000" w:rsidDel="00000000" w:rsidP="00000000" w:rsidRDefault="00000000" w:rsidRPr="00000000" w14:paraId="00000005">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Genre et diversité </w:t>
      </w:r>
    </w:p>
    <w:p w:rsidR="00000000" w:rsidDel="00000000" w:rsidP="00000000" w:rsidRDefault="00000000" w:rsidRPr="00000000" w14:paraId="0000000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Adaptation au changement climatique </w:t>
      </w:r>
    </w:p>
    <w:p w:rsidR="00000000" w:rsidDel="00000000" w:rsidP="00000000" w:rsidRDefault="00000000" w:rsidRPr="00000000" w14:paraId="0000000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Moyens de subsistance</w:t>
      </w:r>
    </w:p>
    <w:p w:rsidR="00000000" w:rsidDel="00000000" w:rsidP="00000000" w:rsidRDefault="00000000" w:rsidRPr="00000000" w14:paraId="0000000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tl w:val="0"/>
        </w:rPr>
        <w:t xml:space="preserve">Épidémies</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0" w:line="240" w:lineRule="auto"/>
        <w:ind w:left="720" w:right="0" w:firstLine="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Lisez et utilisez-les en complément des étapes décrites dans </w:t>
      </w:r>
      <w:hyperlink r:id="rId8">
        <w:r w:rsidDel="00000000" w:rsidR="00000000" w:rsidRPr="00000000">
          <w:rPr>
            <w:color w:val="0563c1"/>
            <w:u w:val="single"/>
            <w:rtl w:val="0"/>
          </w:rPr>
          <w:t xml:space="preserve">Le calendrier saisonnier</w:t>
        </w:r>
      </w:hyperlink>
      <w:r w:rsidDel="00000000" w:rsidR="00000000" w:rsidRPr="00000000">
        <w:rPr>
          <w:rtl w:val="0"/>
        </w:rPr>
        <w:t xml:space="preserve">. </w:t>
      </w:r>
    </w:p>
    <w:p w:rsidR="00000000" w:rsidDel="00000000" w:rsidP="00000000" w:rsidRDefault="00000000" w:rsidRPr="00000000" w14:paraId="0000000B">
      <w:pPr>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-114299</wp:posOffset>
                </wp:positionH>
                <wp:positionV relativeFrom="paragraph">
                  <wp:posOffset>123825</wp:posOffset>
                </wp:positionV>
                <wp:extent cx="5953125" cy="536370"/>
                <wp:effectExtent b="0" l="0" r="0" t="0"/>
                <wp:wrapNone/>
                <wp:docPr id="22" name=""/>
                <a:graphic>
                  <a:graphicData uri="http://schemas.microsoft.com/office/word/2010/wordprocessingShape">
                    <wps:wsp>
                      <wps:cNvSpPr/>
                      <wps:cNvPr id="4" name="Shape 4"/>
                      <wps:spPr>
                        <a:xfrm>
                          <a:off x="2377693" y="3429480"/>
                          <a:ext cx="5936615" cy="701040"/>
                        </a:xfrm>
                        <a:custGeom>
                          <a:rect b="b" l="l" r="r" t="t"/>
                          <a:pathLst>
                            <a:path extrusionOk="0" h="701040" w="5936615">
                              <a:moveTo>
                                <a:pt x="0" y="0"/>
                              </a:moveTo>
                              <a:lnTo>
                                <a:pt x="0" y="701040"/>
                              </a:lnTo>
                              <a:lnTo>
                                <a:pt x="5936615" y="701040"/>
                              </a:lnTo>
                              <a:lnTo>
                                <a:pt x="5936615" y="0"/>
                              </a:lnTo>
                              <a:close/>
                            </a:path>
                          </a:pathLst>
                        </a:custGeom>
                        <a:solidFill>
                          <a:srgbClr val="FFFFFF"/>
                        </a:solidFill>
                        <a:ln cap="flat" cmpd="sng" w="19050">
                          <a:solidFill>
                            <a:srgbClr val="00A0DC"/>
                          </a:solidFill>
                          <a:prstDash val="solid"/>
                          <a:miter lim="8000"/>
                          <a:headEnd len="sm" w="sm" type="none"/>
                          <a:tailEnd len="sm" w="sm" type="none"/>
                        </a:ln>
                      </wps:spPr>
                      <wps:txbx>
                        <w:txbxContent>
                          <w:p w:rsidR="00000000" w:rsidDel="00000000" w:rsidP="00000000" w:rsidRDefault="00000000" w:rsidRPr="00000000">
                            <w:pPr>
                              <w:spacing w:after="0" w:before="40" w:line="240"/>
                              <w:ind w:left="0" w:right="0" w:firstLine="0"/>
                              <w:jc w:val="both"/>
                              <w:textDirection w:val="btLr"/>
                            </w:pPr>
                          </w:p>
                        </w:txbxContent>
                      </wps:txbx>
                      <wps:bodyPr anchorCtr="0" anchor="t" bIns="45700" lIns="114300" spcFirstLastPara="1" rIns="114300" wrap="square" tIns="457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-114299</wp:posOffset>
                </wp:positionH>
                <wp:positionV relativeFrom="paragraph">
                  <wp:posOffset>123825</wp:posOffset>
                </wp:positionV>
                <wp:extent cx="5953125" cy="536370"/>
                <wp:effectExtent b="0" l="0" r="0" t="0"/>
                <wp:wrapNone/>
                <wp:docPr id="22" name="image7.png"/>
                <a:graphic>
                  <a:graphicData uri="http://schemas.openxmlformats.org/drawingml/2006/picture">
                    <pic:pic>
                      <pic:nvPicPr>
                        <pic:cNvPr id="0" name="image7.png"/>
                        <pic:cNvPicPr preferRelativeResize="0"/>
                      </pic:nvPicPr>
                      <pic:blipFill>
                        <a:blip r:embed="rId9"/>
                        <a:srcRect/>
                        <a:stretch>
                          <a:fillRect/>
                        </a:stretch>
                      </pic:blipFill>
                      <pic:spPr>
                        <a:xfrm>
                          <a:off x="0" y="0"/>
                          <a:ext cx="5953125" cy="536370"/>
                        </a:xfrm>
                        <a:prstGeom prst="rect"/>
                        <a:ln/>
                      </pic:spPr>
                    </pic:pic>
                  </a:graphicData>
                </a:graphic>
              </wp:anchor>
            </w:drawing>
          </mc:Fallback>
        </mc:AlternateContent>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180975</wp:posOffset>
            </wp:positionV>
            <wp:extent cx="352425" cy="371475"/>
            <wp:effectExtent b="0" l="0" r="0" t="0"/>
            <wp:wrapSquare wrapText="bothSides" distB="114300" distT="114300" distL="114300" distR="114300"/>
            <wp:docPr id="26"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352425" cy="371475"/>
                    </a:xfrm>
                    <a:prstGeom prst="rect"/>
                    <a:ln/>
                  </pic:spPr>
                </pic:pic>
              </a:graphicData>
            </a:graphic>
          </wp:anchor>
        </w:drawing>
      </w:r>
    </w:p>
    <w:p w:rsidR="00000000" w:rsidDel="00000000" w:rsidP="00000000" w:rsidRDefault="00000000" w:rsidRPr="00000000" w14:paraId="0000000C">
      <w:pPr>
        <w:pStyle w:val="Heading2"/>
        <w:ind w:firstLine="720"/>
        <w:rPr/>
      </w:pPr>
      <w:r w:rsidDel="00000000" w:rsidR="00000000" w:rsidRPr="00000000">
        <w:rPr>
          <w:rtl w:val="0"/>
        </w:rPr>
        <w:t xml:space="preserve">Genre et diversité</w:t>
      </w:r>
      <w:r w:rsidDel="00000000" w:rsidR="00000000" w:rsidRPr="00000000">
        <w:rPr>
          <w:vertAlign w:val="superscript"/>
        </w:rPr>
        <w:footnoteReference w:customMarkFollows="0" w:id="0"/>
      </w: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1"/>
          <w:i w:val="0"/>
          <w:smallCaps w:val="0"/>
          <w:strike w:val="0"/>
          <w:color w:val="000000"/>
          <w:sz w:val="24"/>
          <w:szCs w:val="24"/>
          <w:u w:val="none"/>
          <w:vertAlign w:val="baseline"/>
          <w:rtl w:val="0"/>
        </w:rPr>
        <w:t xml:space="preserve">L’importance du genre et de la diversité </w:t>
      </w: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Pour cette activité, séparez les hommes et les femmes en deux groupes. Vous comparerez les deux calendriers à la fin et les données demeureront ventilées. En séparant les hommes, les femmes et autres catégories, vous ferez ressortir les différentes conceptions des risques, des aléas et des vulnérabilités sociales, par groupe. C’est ainsi que vous pourrez enregistrer ces différences et dégager les points communs. </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vertAlign w:val="baseline"/>
        </w:rPr>
      </w:pPr>
      <w:r w:rsidDel="00000000" w:rsidR="00000000" w:rsidRPr="00000000">
        <w:rPr>
          <w:rFonts w:ascii="Calibri" w:cs="Calibri" w:eastAsia="Calibri" w:hAnsi="Calibri"/>
          <w:b w:val="1"/>
          <w:i w:val="0"/>
          <w:smallCaps w:val="0"/>
          <w:strike w:val="0"/>
          <w:color w:val="000000"/>
          <w:sz w:val="24"/>
          <w:szCs w:val="24"/>
          <w:u w:val="none"/>
          <w:vertAlign w:val="baseline"/>
          <w:rtl w:val="0"/>
        </w:rPr>
        <w:t xml:space="preserve">Le calendrier saisonnier devrait vous permettre de : </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58" w:before="0" w:line="240" w:lineRule="auto"/>
        <w:ind w:left="720"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Comprendre les différences de charge de travail, d’options de moyen de subsistance et de responsabilités des hommes et des femmes sur une année. </w:t>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58" w:before="0" w:line="240" w:lineRule="auto"/>
        <w:ind w:left="720"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Comprendre la situation économique des hommes et des femmes sur une année, ainsi que leurs différentes sources de revenus. </w:t>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58" w:before="0" w:line="240" w:lineRule="auto"/>
        <w:ind w:left="720"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Déterminer qui prend les décisions sur l’utilisation des revenus. </w:t>
      </w:r>
    </w:p>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58" w:before="0" w:line="240" w:lineRule="auto"/>
        <w:ind w:left="720"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Comprendre s’il existe des moments de l’année où les niveaux de stress sont plus élevés et la charge de travail plus lourde, si ce phénomène a des incidences sur les ménages ou la communauté (leur prise en compte dans l’élaboration d’un plan d’action communautaire à l’issue du processus d’EVC est importante). </w:t>
      </w:r>
    </w:p>
    <w:p w:rsidR="00000000" w:rsidDel="00000000" w:rsidP="00000000" w:rsidRDefault="00000000" w:rsidRPr="00000000" w14:paraId="0000001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58" w:before="0" w:line="240" w:lineRule="auto"/>
        <w:ind w:left="720"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Il pourrait être utile de séparer les jeunes et les personnes âgées et de commencer par recueillir des données sur la situation actuelle, puis de voir si les choses ont changé en 30 ans. Vous pourrez alors nouer le dialogue avec les plus anciennes générations de la communauté sur ce qu’elles pensent des aléas, des risques et de l’environnement changeant. </w:t>
      </w:r>
    </w:p>
    <w:p w:rsidR="00000000" w:rsidDel="00000000" w:rsidP="00000000" w:rsidRDefault="00000000" w:rsidRPr="00000000" w14:paraId="0000001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58" w:before="0" w:line="240" w:lineRule="auto"/>
        <w:ind w:left="720"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Comprendre les conséquences de la division du travail, les capacités et le savoir des femmes et des hommes. </w:t>
      </w:r>
    </w:p>
    <w:p w:rsidR="00000000" w:rsidDel="00000000" w:rsidP="00000000" w:rsidRDefault="00000000" w:rsidRPr="00000000" w14:paraId="0000001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Établir si les conséquences des vulnérabilités et de la saisonnalité des catastrophes ou du changement climatique touchent différents groupes. </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1A">
      <w:pPr>
        <w:pStyle w:val="Heading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88901</wp:posOffset>
                </wp:positionH>
                <wp:positionV relativeFrom="paragraph">
                  <wp:posOffset>127000</wp:posOffset>
                </wp:positionV>
                <wp:extent cx="5703570" cy="458469"/>
                <wp:effectExtent b="0" l="0" r="0" t="0"/>
                <wp:wrapNone/>
                <wp:docPr id="24" name=""/>
                <a:graphic>
                  <a:graphicData uri="http://schemas.microsoft.com/office/word/2010/wordprocessingShape">
                    <wps:wsp>
                      <wps:cNvSpPr/>
                      <wps:cNvPr id="5" name="Shape 5"/>
                      <wps:spPr>
                        <a:xfrm>
                          <a:off x="2503740" y="3560291"/>
                          <a:ext cx="5684520" cy="439419"/>
                        </a:xfrm>
                        <a:custGeom>
                          <a:rect b="b" l="l" r="r" t="t"/>
                          <a:pathLst>
                            <a:path extrusionOk="0" h="439419" w="5684520">
                              <a:moveTo>
                                <a:pt x="0" y="0"/>
                              </a:moveTo>
                              <a:lnTo>
                                <a:pt x="0" y="439419"/>
                              </a:lnTo>
                              <a:lnTo>
                                <a:pt x="5684520" y="439419"/>
                              </a:lnTo>
                              <a:lnTo>
                                <a:pt x="5684520" y="0"/>
                              </a:lnTo>
                              <a:close/>
                            </a:path>
                          </a:pathLst>
                        </a:custGeom>
                        <a:solidFill>
                          <a:srgbClr val="FFFFFF"/>
                        </a:solidFill>
                        <a:ln cap="flat" cmpd="sng" w="19050">
                          <a:solidFill>
                            <a:srgbClr val="00A0DC"/>
                          </a:solidFill>
                          <a:prstDash val="solid"/>
                          <a:miter lim="8000"/>
                          <a:headEnd len="sm" w="sm" type="none"/>
                          <a:tailEnd len="sm" w="sm" type="none"/>
                        </a:ln>
                      </wps:spPr>
                      <wps:txbx>
                        <w:txbxContent>
                          <w:p w:rsidR="00000000" w:rsidDel="00000000" w:rsidP="00000000" w:rsidRDefault="00000000" w:rsidRPr="00000000">
                            <w:pPr>
                              <w:spacing w:after="0" w:before="40" w:line="240"/>
                              <w:ind w:left="0" w:right="0" w:firstLine="0"/>
                              <w:jc w:val="both"/>
                              <w:textDirection w:val="btLr"/>
                            </w:pPr>
                          </w:p>
                        </w:txbxContent>
                      </wps:txbx>
                      <wps:bodyPr anchorCtr="0" anchor="t" bIns="45700" lIns="114300" spcFirstLastPara="1" rIns="114300" wrap="square" tIns="457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88901</wp:posOffset>
                </wp:positionH>
                <wp:positionV relativeFrom="paragraph">
                  <wp:posOffset>127000</wp:posOffset>
                </wp:positionV>
                <wp:extent cx="5703570" cy="458469"/>
                <wp:effectExtent b="0" l="0" r="0" t="0"/>
                <wp:wrapNone/>
                <wp:docPr id="24" name="image9.png"/>
                <a:graphic>
                  <a:graphicData uri="http://schemas.openxmlformats.org/drawingml/2006/picture">
                    <pic:pic>
                      <pic:nvPicPr>
                        <pic:cNvPr id="0" name="image9.png"/>
                        <pic:cNvPicPr preferRelativeResize="0"/>
                      </pic:nvPicPr>
                      <pic:blipFill>
                        <a:blip r:embed="rId11"/>
                        <a:srcRect/>
                        <a:stretch>
                          <a:fillRect/>
                        </a:stretch>
                      </pic:blipFill>
                      <pic:spPr>
                        <a:xfrm>
                          <a:off x="0" y="0"/>
                          <a:ext cx="5703570" cy="458469"/>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33285</wp:posOffset>
            </wp:positionH>
            <wp:positionV relativeFrom="paragraph">
              <wp:posOffset>173990</wp:posOffset>
            </wp:positionV>
            <wp:extent cx="370205" cy="370205"/>
            <wp:effectExtent b="0" l="0" r="0" t="0"/>
            <wp:wrapNone/>
            <wp:docPr descr="cid:image001.png@01D404BD.B91DE060" id="27" name="image1.png"/>
            <a:graphic>
              <a:graphicData uri="http://schemas.openxmlformats.org/drawingml/2006/picture">
                <pic:pic>
                  <pic:nvPicPr>
                    <pic:cNvPr descr="cid:image001.png@01D404BD.B91DE060" id="0" name="image1.png"/>
                    <pic:cNvPicPr preferRelativeResize="0"/>
                  </pic:nvPicPr>
                  <pic:blipFill>
                    <a:blip r:embed="rId12"/>
                    <a:srcRect b="0" l="0" r="0" t="0"/>
                    <a:stretch>
                      <a:fillRect/>
                    </a:stretch>
                  </pic:blipFill>
                  <pic:spPr>
                    <a:xfrm>
                      <a:off x="0" y="0"/>
                      <a:ext cx="370205" cy="370205"/>
                    </a:xfrm>
                    <a:prstGeom prst="rect"/>
                    <a:ln/>
                  </pic:spPr>
                </pic:pic>
              </a:graphicData>
            </a:graphic>
          </wp:anchor>
        </w:drawing>
      </w:r>
    </w:p>
    <w:p w:rsidR="00000000" w:rsidDel="00000000" w:rsidP="00000000" w:rsidRDefault="00000000" w:rsidRPr="00000000" w14:paraId="0000001B">
      <w:pPr>
        <w:pStyle w:val="Heading2"/>
        <w:rPr/>
      </w:pPr>
      <w:r w:rsidDel="00000000" w:rsidR="00000000" w:rsidRPr="00000000">
        <w:rPr>
          <w:rtl w:val="0"/>
        </w:rPr>
        <w:tab/>
        <w:t xml:space="preserve">Adaptation au changement climatique</w:t>
      </w:r>
      <w:r w:rsidDel="00000000" w:rsidR="00000000" w:rsidRPr="00000000">
        <w:rPr>
          <w:vertAlign w:val="superscript"/>
        </w:rPr>
        <w:footnoteReference w:customMarkFollows="0" w:id="1"/>
      </w: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Le calendrier saisonnier donne aux animateurs de l’EVC un moyen d’engager la discussion sur l’influence possible de l’évolution des saisons sur les problèmes sanitaires, les catastrophes et les moyens de subsistance (voir les exemples de questions dans </w:t>
      </w:r>
      <w:hyperlink r:id="rId13">
        <w:r w:rsidDel="00000000" w:rsidR="00000000" w:rsidRPr="00000000">
          <w:rPr>
            <w:color w:val="0563c1"/>
            <w:u w:val="single"/>
            <w:rtl w:val="0"/>
          </w:rPr>
          <w:t xml:space="preserve">Annexe 1 et Annexe 2 RCCC</w:t>
        </w:r>
      </w:hyperlink>
      <w:r w:rsidDel="00000000" w:rsidR="00000000" w:rsidRPr="00000000">
        <w:rPr>
          <w:rtl w:val="0"/>
        </w:rPr>
        <w:t xml:space="preserve">, en anglais). Il est conseillé de commencer par créer un calendrier saisonnier basé sur la situation actuelle puis, une fois cette tâche terminée, de demander à la communauté si les saisons ont changé en une trentaine d’années. Cependant, si les individus parlent déjà du fait que le temps est devenu imprévisible, procédez dans le sens inverse : parlez d’abord du passé, puis essayez de discuter des problèmes qui pourraient être causés par l’imprévisibilité météorologique récente. Pour parler des variations sur une longue période (voir aussi </w:t>
      </w:r>
      <w:hyperlink r:id="rId14">
        <w:r w:rsidDel="00000000" w:rsidR="00000000" w:rsidRPr="00000000">
          <w:rPr>
            <w:color w:val="0563c1"/>
            <w:u w:val="single"/>
            <w:rtl w:val="0"/>
          </w:rPr>
          <w:t xml:space="preserve">Le profil historique</w:t>
        </w:r>
      </w:hyperlink>
      <w:r w:rsidDel="00000000" w:rsidR="00000000" w:rsidRPr="00000000">
        <w:rPr>
          <w:rtl w:val="0"/>
        </w:rPr>
        <w:t xml:space="preserve">) il est important d’inclure des personnes âgées dans le groupe. N’oubliez pas que le calendrier saisonnier ne sert pas à repérer un événement passé particulier, mais plutôt des tendances dans le passé.</w:t>
      </w:r>
    </w:p>
    <w:p w:rsidR="00000000" w:rsidDel="00000000" w:rsidP="00000000" w:rsidRDefault="00000000" w:rsidRPr="00000000" w14:paraId="0000001E">
      <w:pPr>
        <w:rPr/>
      </w:pPr>
      <w:r w:rsidDel="00000000" w:rsidR="00000000" w:rsidRPr="00000000">
        <w:rPr>
          <w:rtl w:val="0"/>
        </w:rPr>
        <w:t xml:space="preserve">L’outil peut être utilisé pour faire prendre conscience du fait que, compte tenu de l’évolution des régimes météorologiques, les anciens calendriers saisonniers et les méthodes de planification traditionnelles devront éventuellement être repensés. Un diagramme pourrait être employé pour illustrer les changements au regard des périodes de floraison, de plantation et de récolte, par exemple, de l’apparition possible de nouveaux risques météorologiques et sanitaires ou de l’apparition inattendue de risques connus à des périodes inhabituelles.</w:t>
      </w:r>
    </w:p>
    <w:p w:rsidR="00000000" w:rsidDel="00000000" w:rsidP="00000000" w:rsidRDefault="00000000" w:rsidRPr="00000000" w14:paraId="0000001F">
      <w:pPr>
        <w:rPr/>
      </w:pPr>
      <w:r w:rsidDel="00000000" w:rsidR="00000000" w:rsidRPr="00000000">
        <w:rPr>
          <w:rtl w:val="0"/>
        </w:rPr>
        <w:t xml:space="preserve">Pour en savoir plus sur l’intégration du changement climatique dans cet outil, voir :</w:t>
      </w:r>
    </w:p>
    <w:p w:rsidR="00000000" w:rsidDel="00000000" w:rsidP="00000000" w:rsidRDefault="00000000" w:rsidRPr="00000000" w14:paraId="0000002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hyperlink r:id="rId15">
        <w:r w:rsidDel="00000000" w:rsidR="00000000" w:rsidRPr="00000000">
          <w:rPr>
            <w:rFonts w:ascii="Calibri" w:cs="Calibri" w:eastAsia="Calibri" w:hAnsi="Calibri"/>
            <w:b w:val="0"/>
            <w:i w:val="0"/>
            <w:smallCaps w:val="0"/>
            <w:strike w:val="0"/>
            <w:color w:val="0563c1"/>
            <w:sz w:val="24"/>
            <w:szCs w:val="24"/>
            <w:u w:val="single"/>
            <w:vertAlign w:val="baseline"/>
            <w:rtl w:val="0"/>
          </w:rPr>
          <w:t xml:space="preserve">Intégrer le changement climatique et les risques urbains dans l’EVC pages 110-114</w:t>
        </w:r>
      </w:hyperlink>
      <w:r w:rsidDel="00000000" w:rsidR="00000000" w:rsidRPr="00000000">
        <w:rPr>
          <w:rtl w:val="0"/>
        </w:rPr>
      </w:r>
    </w:p>
    <w:p w:rsidR="00000000" w:rsidDel="00000000" w:rsidP="00000000" w:rsidRDefault="00000000" w:rsidRPr="00000000" w14:paraId="0000002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80" w:before="0" w:line="240" w:lineRule="auto"/>
        <w:ind w:left="720"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La </w:t>
      </w:r>
      <w:hyperlink r:id="rId16">
        <w:r w:rsidDel="00000000" w:rsidR="00000000" w:rsidRPr="00000000">
          <w:rPr>
            <w:rFonts w:ascii="Calibri" w:cs="Calibri" w:eastAsia="Calibri" w:hAnsi="Calibri"/>
            <w:b w:val="0"/>
            <w:i w:val="0"/>
            <w:smallCaps w:val="0"/>
            <w:strike w:val="0"/>
            <w:color w:val="0563c1"/>
            <w:sz w:val="24"/>
            <w:szCs w:val="24"/>
            <w:u w:val="single"/>
            <w:vertAlign w:val="baseline"/>
            <w:rtl w:val="0"/>
          </w:rPr>
          <w:t xml:space="preserve">Boîte à outils 3CA élaborée par CADRIM</w:t>
        </w:r>
      </w:hyperlink>
      <w:r w:rsidDel="00000000" w:rsidR="00000000" w:rsidRPr="00000000">
        <w:rPr>
          <w:rFonts w:ascii="Calibri" w:cs="Calibri" w:eastAsia="Calibri" w:hAnsi="Calibri"/>
          <w:b w:val="0"/>
          <w:i w:val="0"/>
          <w:smallCaps w:val="0"/>
          <w:strike w:val="0"/>
          <w:color w:val="0563c1"/>
          <w:sz w:val="24"/>
          <w:szCs w:val="24"/>
          <w:u w:val="single"/>
          <w:vertAlign w:val="baseline"/>
          <w:rtl w:val="0"/>
        </w:rPr>
        <w:t xml:space="preserve"> pages 82-84</w:t>
      </w:r>
      <w:r w:rsidDel="00000000" w:rsidR="00000000" w:rsidRPr="00000000">
        <w:rPr>
          <w:rFonts w:ascii="Calibri" w:cs="Calibri" w:eastAsia="Calibri" w:hAnsi="Calibri"/>
          <w:b w:val="0"/>
          <w:i w:val="0"/>
          <w:smallCaps w:val="0"/>
          <w:strike w:val="0"/>
          <w:color w:val="0563c1"/>
          <w:sz w:val="24"/>
          <w:szCs w:val="24"/>
          <w:u w:val="none"/>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(en anglais) </w:t>
      </w:r>
      <w:r w:rsidDel="00000000" w:rsidR="00000000" w:rsidRPr="00000000">
        <w:br w:type="page"/>
      </w: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0" w:line="240" w:lineRule="auto"/>
        <w:ind w:left="720" w:right="0" w:firstLine="0"/>
        <w:jc w:val="both"/>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1</wp:posOffset>
                </wp:positionH>
                <wp:positionV relativeFrom="paragraph">
                  <wp:posOffset>180975</wp:posOffset>
                </wp:positionV>
                <wp:extent cx="6067425" cy="723900"/>
                <wp:effectExtent b="0" l="0" r="0" t="0"/>
                <wp:wrapNone/>
                <wp:docPr id="23" name=""/>
                <a:graphic>
                  <a:graphicData uri="http://schemas.microsoft.com/office/word/2010/wordprocessingShape">
                    <wps:wsp>
                      <wps:cNvSpPr/>
                      <wps:cNvPr id="4" name="Shape 4"/>
                      <wps:spPr>
                        <a:xfrm>
                          <a:off x="2377693" y="3429480"/>
                          <a:ext cx="5936615" cy="701040"/>
                        </a:xfrm>
                        <a:custGeom>
                          <a:rect b="b" l="l" r="r" t="t"/>
                          <a:pathLst>
                            <a:path extrusionOk="0" h="701040" w="5936615">
                              <a:moveTo>
                                <a:pt x="0" y="0"/>
                              </a:moveTo>
                              <a:lnTo>
                                <a:pt x="0" y="701040"/>
                              </a:lnTo>
                              <a:lnTo>
                                <a:pt x="5936615" y="701040"/>
                              </a:lnTo>
                              <a:lnTo>
                                <a:pt x="5936615" y="0"/>
                              </a:lnTo>
                              <a:close/>
                            </a:path>
                          </a:pathLst>
                        </a:custGeom>
                        <a:solidFill>
                          <a:srgbClr val="FFFFFF"/>
                        </a:solidFill>
                        <a:ln cap="flat" cmpd="sng" w="19050">
                          <a:solidFill>
                            <a:srgbClr val="00A0DC"/>
                          </a:solidFill>
                          <a:prstDash val="solid"/>
                          <a:miter lim="8000"/>
                          <a:headEnd len="sm" w="sm" type="none"/>
                          <a:tailEnd len="sm" w="sm" type="none"/>
                        </a:ln>
                      </wps:spPr>
                      <wps:txbx>
                        <w:txbxContent>
                          <w:p w:rsidR="00000000" w:rsidDel="00000000" w:rsidP="00000000" w:rsidRDefault="00000000" w:rsidRPr="00000000">
                            <w:pPr>
                              <w:spacing w:after="0" w:before="40" w:line="240"/>
                              <w:ind w:left="0" w:right="0" w:firstLine="0"/>
                              <w:jc w:val="both"/>
                              <w:textDirection w:val="btLr"/>
                            </w:pPr>
                          </w:p>
                        </w:txbxContent>
                      </wps:txbx>
                      <wps:bodyPr anchorCtr="0" anchor="t" bIns="45700" lIns="114300" spcFirstLastPara="1" rIns="114300" wrap="square" tIns="457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1</wp:posOffset>
                </wp:positionH>
                <wp:positionV relativeFrom="paragraph">
                  <wp:posOffset>180975</wp:posOffset>
                </wp:positionV>
                <wp:extent cx="6067425" cy="723900"/>
                <wp:effectExtent b="0" l="0" r="0" t="0"/>
                <wp:wrapNone/>
                <wp:docPr id="23" name="image8.png"/>
                <a:graphic>
                  <a:graphicData uri="http://schemas.openxmlformats.org/drawingml/2006/picture">
                    <pic:pic>
                      <pic:nvPicPr>
                        <pic:cNvPr id="0" name="image8.png"/>
                        <pic:cNvPicPr preferRelativeResize="0"/>
                      </pic:nvPicPr>
                      <pic:blipFill>
                        <a:blip r:embed="rId17"/>
                        <a:srcRect/>
                        <a:stretch>
                          <a:fillRect/>
                        </a:stretch>
                      </pic:blipFill>
                      <pic:spPr>
                        <a:xfrm>
                          <a:off x="0" y="0"/>
                          <a:ext cx="6067425" cy="723900"/>
                        </a:xfrm>
                        <a:prstGeom prst="rect"/>
                        <a:ln/>
                      </pic:spPr>
                    </pic:pic>
                  </a:graphicData>
                </a:graphic>
              </wp:anchor>
            </w:drawing>
          </mc:Fallback>
        </mc:AlternateContent>
      </w:r>
    </w:p>
    <w:p w:rsidR="00000000" w:rsidDel="00000000" w:rsidP="00000000" w:rsidRDefault="00000000" w:rsidRPr="00000000" w14:paraId="00000024">
      <w:pPr>
        <w:pStyle w:val="Heading2"/>
        <w:ind w:left="851" w:hanging="851"/>
        <w:rPr/>
      </w:pPr>
      <w:r w:rsidDel="00000000" w:rsidR="00000000" w:rsidRPr="00000000">
        <w:rPr>
          <w:rtl w:val="0"/>
        </w:rPr>
        <w:tab/>
        <w:t xml:space="preserve">Moyens de subsistance : Activités économiques, ressources et services financiers</w:t>
      </w:r>
      <w:r w:rsidDel="00000000" w:rsidR="00000000" w:rsidRPr="00000000">
        <w:drawing>
          <wp:anchor allowOverlap="1" behindDoc="0" distB="0" distT="0" distL="114300" distR="114300" hidden="0" layoutInCell="1" locked="0" relativeHeight="0" simplePos="0">
            <wp:simplePos x="0" y="0"/>
            <wp:positionH relativeFrom="column">
              <wp:posOffset>85726</wp:posOffset>
            </wp:positionH>
            <wp:positionV relativeFrom="paragraph">
              <wp:posOffset>31012</wp:posOffset>
            </wp:positionV>
            <wp:extent cx="419100" cy="419100"/>
            <wp:effectExtent b="0" l="0" r="0" t="0"/>
            <wp:wrapNone/>
            <wp:docPr id="25" name="image4.png"/>
            <a:graphic>
              <a:graphicData uri="http://schemas.openxmlformats.org/drawingml/2006/picture">
                <pic:pic>
                  <pic:nvPicPr>
                    <pic:cNvPr id="0" name="image4.png"/>
                    <pic:cNvPicPr preferRelativeResize="0"/>
                  </pic:nvPicPr>
                  <pic:blipFill>
                    <a:blip r:embed="rId18"/>
                    <a:srcRect b="33384" l="54227" r="20817" t="26678"/>
                    <a:stretch>
                      <a:fillRect/>
                    </a:stretch>
                  </pic:blipFill>
                  <pic:spPr>
                    <a:xfrm>
                      <a:off x="0" y="0"/>
                      <a:ext cx="419100" cy="419100"/>
                    </a:xfrm>
                    <a:prstGeom prst="rect"/>
                    <a:ln/>
                  </pic:spPr>
                </pic:pic>
              </a:graphicData>
            </a:graphic>
          </wp:anchor>
        </w:drawing>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Le calendrier saisonnier devrait illustrer le cycle annuel des activités productives et économiques des ménages, les fluctuations de leurs revenus et de leurs dépenses, les événements saisonniers susceptibles d’influer, directement ou indirectement, sur leur sécurité économique. Pensez à l’influence des saisons (périodes de sécheresse, périodes de récolte, hausse des ventes, maladies saisonnières, vacances, etc.) sur chacun des cinq types de capital du Cadre de référence pour des moyens de subsistance durables (Lignes directrices de la Fédération internationale pour les programmes relatifs aux moyens de subsistance, pages 17 et 18 : physique, social, humain, naturel et financier). Cet outil permet d’analyser et de repérer les périodes de plus forte tension économique ou de plus forte insécurité alimentaire des ménages, ainsi que les périodes durant lesquelles les conditions économiques sont les plus favorables et les revenus des ménages sont les plus élevés. </w:t>
      </w:r>
    </w:p>
    <w:p w:rsidR="00000000" w:rsidDel="00000000" w:rsidP="00000000" w:rsidRDefault="00000000" w:rsidRPr="00000000" w14:paraId="00000028">
      <w:pPr>
        <w:rPr/>
      </w:pPr>
      <w:r w:rsidDel="00000000" w:rsidR="00000000" w:rsidRPr="00000000">
        <w:rPr>
          <w:b w:val="1"/>
          <w:rtl w:val="0"/>
        </w:rPr>
        <w:t xml:space="preserve">Étapes recommandées :</w:t>
      </w:r>
      <w:r w:rsidDel="00000000" w:rsidR="00000000" w:rsidRPr="00000000">
        <w:rPr>
          <w:rtl w:val="0"/>
        </w:rPr>
        <w:t xml:space="preserve"> notez que la situation pourrait être différente pour chaque type de moyen de subsistance. Pour soutenir plus efficacement les interventions liées aux moyens de subsistance, pensez à faire réaliser un calendrier pour chaque catégorie de moyen de subsistance pour illustrer le caractère saisonnier de l’activité des agriculteurs, des gardiens de troupeau, des microentreprises et des petites entreprises, des commerçants, etc. Nous suggérons donc de prendre en compte les aspects suivants : </w:t>
      </w:r>
    </w:p>
    <w:p w:rsidR="00000000" w:rsidDel="00000000" w:rsidP="00000000" w:rsidRDefault="00000000" w:rsidRPr="00000000" w14:paraId="0000002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Premièrement, il est important de repérer les périodes pendant lesquelles la charge de travail différents groupes est plus lourde. Intéressez-vous aussi à l’accès au crédit, à l’endettement, aux tendances de la migration.</w:t>
      </w:r>
    </w:p>
    <w:p w:rsidR="00000000" w:rsidDel="00000000" w:rsidP="00000000" w:rsidRDefault="00000000" w:rsidRPr="00000000" w14:paraId="0000002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Les fluctuations des revenus aux différents moments de l’année (les récoltes d’une année et les autres sources de revenus). Les mois auxquels les revenus ne suffisent pas pour parer aux besoins essentiels (nourriture, éducation, santé, etc.). Les dates de la période de soudure et sa durée.</w:t>
      </w:r>
    </w:p>
    <w:p w:rsidR="00000000" w:rsidDel="00000000" w:rsidP="00000000" w:rsidRDefault="00000000" w:rsidRPr="00000000" w14:paraId="0000002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Trouvez ensuite les périodes de plus fortes dépenses (activités sociales et religieuses, inscriptions scolaires, investissement dans les moyens de subsistance [graines, préparation des terres, vaccination, embauche de main-d’œuvre agricole, etc.]). </w:t>
      </w:r>
    </w:p>
    <w:p w:rsidR="00000000" w:rsidDel="00000000" w:rsidP="00000000" w:rsidRDefault="00000000" w:rsidRPr="00000000" w14:paraId="0000002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Évaluez les fluctuations des prix (intrants, denrées de base). </w:t>
      </w:r>
    </w:p>
    <w:p w:rsidR="00000000" w:rsidDel="00000000" w:rsidP="00000000" w:rsidRDefault="00000000" w:rsidRPr="00000000" w14:paraId="0000002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Intéressez-vous ensuite aux périodes de fréquence accrue des maladies transmissibles (choléra, grippe, diarrhée, infections respiratoires aiguës, etc.).</w:t>
      </w:r>
    </w:p>
    <w:p w:rsidR="00000000" w:rsidDel="00000000" w:rsidP="00000000" w:rsidRDefault="00000000" w:rsidRPr="00000000" w14:paraId="0000002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Déterminez les principales stratégies de survie négatives quand la nourriture, les revenus et les activités manquent. </w:t>
      </w:r>
    </w:p>
    <w:p w:rsidR="00000000" w:rsidDel="00000000" w:rsidP="00000000" w:rsidRDefault="00000000" w:rsidRPr="00000000" w14:paraId="0000002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Enfin, examinez les catastrophes et les événements qui ont une influence directe sur les 5 types de capital ou les six caractéristiques de la résilience (inondations, ouragans, sécheresses, etc.).</w:t>
      </w:r>
    </w:p>
    <w:p w:rsidR="00000000" w:rsidDel="00000000" w:rsidP="00000000" w:rsidRDefault="00000000" w:rsidRPr="00000000" w14:paraId="0000003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80" w:before="0" w:line="240" w:lineRule="auto"/>
        <w:ind w:left="720"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Dans l’idéal, les 15 à 30 dernières années devraient être considérées pour voir si des changements notables dans le calendrier sont survenus : changements au regard de la santé, de la migration, des tendances des aléas.</w:t>
      </w:r>
    </w:p>
    <w:p w:rsidR="00000000" w:rsidDel="00000000" w:rsidP="00000000" w:rsidRDefault="00000000" w:rsidRPr="00000000" w14:paraId="00000031">
      <w:pPr>
        <w:rPr/>
      </w:pPr>
      <w:r w:rsidDel="00000000" w:rsidR="00000000" w:rsidRPr="00000000">
        <w:rPr>
          <w:rtl w:val="0"/>
        </w:rPr>
        <w:t xml:space="preserve">Une fois que toutes ces informations ont été intégrées dans le calendrier, procédez à une analyse en groupe en vue d’inclure les informations manquantes, de corriger les erreurs éventuelles et de tirer des conclusions, comme indiqué plus haut. </w:t>
      </w:r>
    </w:p>
    <w:p w:rsidR="00000000" w:rsidDel="00000000" w:rsidP="00000000" w:rsidRDefault="00000000" w:rsidRPr="00000000" w14:paraId="00000032">
      <w:pPr>
        <w:rPr>
          <w:b w:val="1"/>
        </w:rPr>
      </w:pPr>
      <w:r w:rsidDel="00000000" w:rsidR="00000000" w:rsidRPr="00000000">
        <w:rPr>
          <w:b w:val="1"/>
          <w:rtl w:val="0"/>
        </w:rPr>
        <w:t xml:space="preserve">Conseils :</w:t>
      </w:r>
    </w:p>
    <w:p w:rsidR="00000000" w:rsidDel="00000000" w:rsidP="00000000" w:rsidRDefault="00000000" w:rsidRPr="00000000" w14:paraId="0000003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Analysez les niveaux d’endettement ou le niveau d’accès aux services. </w:t>
      </w:r>
    </w:p>
    <w:p w:rsidR="00000000" w:rsidDel="00000000" w:rsidP="00000000" w:rsidRDefault="00000000" w:rsidRPr="00000000" w14:paraId="0000003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Certaines stratégies de survie ou certains comportements négatifs liés au caractère saisonnier des revenus et de l’alimentation (y compris la hausse de la violence domestique, de l’ébriété, etc.) ne sont pas toujours facilement révélés dans le cadre d’un exercice de groupe, mais il importe d’en tenir compte dans la conception des programmes.</w:t>
      </w:r>
    </w:p>
    <w:p w:rsidR="00000000" w:rsidDel="00000000" w:rsidP="00000000" w:rsidRDefault="00000000" w:rsidRPr="00000000" w14:paraId="0000003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80" w:before="0" w:line="240" w:lineRule="auto"/>
        <w:ind w:left="720" w:right="0" w:hanging="360"/>
        <w:jc w:val="both"/>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Établissez les conséquences des différents événements et les corrélations qui existent. Intégrez-les dans votre analyse.</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0" w:line="240" w:lineRule="auto"/>
        <w:ind w:left="720" w:right="0" w:firstLine="0"/>
        <w:jc w:val="both"/>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0" w:line="240" w:lineRule="auto"/>
        <w:ind w:left="720" w:right="0" w:firstLine="0"/>
        <w:jc w:val="both"/>
        <w:rPr/>
      </w:pPr>
      <w:r w:rsidDel="00000000" w:rsidR="00000000" w:rsidRPr="00000000">
        <w:rPr>
          <w:rtl w:val="0"/>
        </w:rPr>
      </w:r>
    </w:p>
    <w:p w:rsidR="00000000" w:rsidDel="00000000" w:rsidP="00000000" w:rsidRDefault="00000000" w:rsidRPr="00000000" w14:paraId="00000038">
      <w:pPr>
        <w:rPr>
          <w:i w:val="1"/>
          <w:color w:val="000000"/>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-1424</wp:posOffset>
                </wp:positionH>
                <wp:positionV relativeFrom="paragraph">
                  <wp:posOffset>185737</wp:posOffset>
                </wp:positionV>
                <wp:extent cx="5734050" cy="458469"/>
                <wp:effectExtent b="0" l="0" r="0" t="0"/>
                <wp:wrapNone/>
                <wp:docPr id="21" name=""/>
                <a:graphic>
                  <a:graphicData uri="http://schemas.microsoft.com/office/word/2010/wordprocessingShape">
                    <wps:wsp>
                      <wps:cNvSpPr/>
                      <wps:cNvPr id="3" name="Shape 3"/>
                      <wps:spPr>
                        <a:xfrm>
                          <a:off x="2488500" y="3560291"/>
                          <a:ext cx="5715000" cy="439419"/>
                        </a:xfrm>
                        <a:custGeom>
                          <a:rect b="b" l="l" r="r" t="t"/>
                          <a:pathLst>
                            <a:path extrusionOk="0" h="439419" w="5715000">
                              <a:moveTo>
                                <a:pt x="0" y="0"/>
                              </a:moveTo>
                              <a:lnTo>
                                <a:pt x="0" y="439419"/>
                              </a:lnTo>
                              <a:lnTo>
                                <a:pt x="5715000" y="439419"/>
                              </a:lnTo>
                              <a:lnTo>
                                <a:pt x="5715000" y="0"/>
                              </a:lnTo>
                              <a:close/>
                            </a:path>
                          </a:pathLst>
                        </a:custGeom>
                        <a:solidFill>
                          <a:srgbClr val="FFFFFF"/>
                        </a:solidFill>
                        <a:ln cap="flat" cmpd="sng" w="19050">
                          <a:solidFill>
                            <a:srgbClr val="00A0DC"/>
                          </a:solidFill>
                          <a:prstDash val="solid"/>
                          <a:miter lim="8000"/>
                          <a:headEnd len="sm" w="sm" type="none"/>
                          <a:tailEnd len="sm" w="sm" type="none"/>
                        </a:ln>
                      </wps:spPr>
                      <wps:txbx>
                        <w:txbxContent>
                          <w:p w:rsidR="00000000" w:rsidDel="00000000" w:rsidP="00000000" w:rsidRDefault="00000000" w:rsidRPr="00000000">
                            <w:pPr>
                              <w:spacing w:after="0" w:before="40" w:line="240"/>
                              <w:ind w:left="0" w:right="0" w:firstLine="0"/>
                              <w:jc w:val="both"/>
                              <w:textDirection w:val="btLr"/>
                            </w:pPr>
                          </w:p>
                        </w:txbxContent>
                      </wps:txbx>
                      <wps:bodyPr anchorCtr="0" anchor="t" bIns="45700" lIns="114300" spcFirstLastPara="1" rIns="114300" wrap="square" tIns="457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-1424</wp:posOffset>
                </wp:positionH>
                <wp:positionV relativeFrom="paragraph">
                  <wp:posOffset>185737</wp:posOffset>
                </wp:positionV>
                <wp:extent cx="5734050" cy="458469"/>
                <wp:effectExtent b="0" l="0" r="0" t="0"/>
                <wp:wrapNone/>
                <wp:docPr id="21" name="image6.png"/>
                <a:graphic>
                  <a:graphicData uri="http://schemas.openxmlformats.org/drawingml/2006/picture">
                    <pic:pic>
                      <pic:nvPicPr>
                        <pic:cNvPr id="0" name="image6.png"/>
                        <pic:cNvPicPr preferRelativeResize="0"/>
                      </pic:nvPicPr>
                      <pic:blipFill>
                        <a:blip r:embed="rId19"/>
                        <a:srcRect/>
                        <a:stretch>
                          <a:fillRect/>
                        </a:stretch>
                      </pic:blipFill>
                      <pic:spPr>
                        <a:xfrm>
                          <a:off x="0" y="0"/>
                          <a:ext cx="5734050" cy="458469"/>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-30479</wp:posOffset>
            </wp:positionH>
            <wp:positionV relativeFrom="paragraph">
              <wp:posOffset>174218</wp:posOffset>
            </wp:positionV>
            <wp:extent cx="487680" cy="487680"/>
            <wp:effectExtent b="0" l="0" r="0" t="0"/>
            <wp:wrapNone/>
            <wp:docPr id="28" name="image2.png"/>
            <a:graphic>
              <a:graphicData uri="http://schemas.openxmlformats.org/drawingml/2006/picture">
                <pic:pic>
                  <pic:nvPicPr>
                    <pic:cNvPr id="0" name="image2.png"/>
                    <pic:cNvPicPr preferRelativeResize="0"/>
                  </pic:nvPicPr>
                  <pic:blipFill>
                    <a:blip r:embed="rId20"/>
                    <a:srcRect b="0" l="0" r="0" t="0"/>
                    <a:stretch>
                      <a:fillRect/>
                    </a:stretch>
                  </pic:blipFill>
                  <pic:spPr>
                    <a:xfrm>
                      <a:off x="0" y="0"/>
                      <a:ext cx="487680" cy="487680"/>
                    </a:xfrm>
                    <a:prstGeom prst="rect"/>
                    <a:ln/>
                  </pic:spPr>
                </pic:pic>
              </a:graphicData>
            </a:graphic>
          </wp:anchor>
        </w:drawing>
      </w:r>
    </w:p>
    <w:p w:rsidR="00000000" w:rsidDel="00000000" w:rsidP="00000000" w:rsidRDefault="00000000" w:rsidRPr="00000000" w14:paraId="00000039">
      <w:pPr>
        <w:pStyle w:val="Heading2"/>
        <w:rPr/>
      </w:pPr>
      <w:r w:rsidDel="00000000" w:rsidR="00000000" w:rsidRPr="00000000">
        <w:rPr>
          <w:rtl w:val="0"/>
        </w:rPr>
        <w:tab/>
        <w:t xml:space="preserve">Épidémies</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spacing w:line="280.1454545454545" w:lineRule="auto"/>
        <w:rPr/>
      </w:pPr>
      <w:r w:rsidDel="00000000" w:rsidR="00000000" w:rsidRPr="00000000">
        <w:rPr>
          <w:rtl w:val="0"/>
        </w:rPr>
        <w:t xml:space="preserve">Cartographier et discuter de l'impact des conditions météorologiques et des risques naturels sur les épidémies/accidents tels que la diarrhée, le choléra, les infections respiratoires aiguës (IRA)</w:t>
      </w:r>
      <w:r w:rsidDel="00000000" w:rsidR="00000000" w:rsidRPr="00000000">
        <w:rPr>
          <w:color w:val="0563c1"/>
          <w:vertAlign w:val="superscript"/>
          <w:rtl w:val="0"/>
        </w:rPr>
        <w:t xml:space="preserve">[1]</w:t>
      </w:r>
      <w:r w:rsidDel="00000000" w:rsidR="00000000" w:rsidRPr="00000000">
        <w:rPr>
          <w:rtl w:val="0"/>
        </w:rPr>
        <w:t xml:space="preserve"> et de la manière dont le changement climatique influe sur ce phénomène.</w:t>
      </w:r>
    </w:p>
    <w:p w:rsidR="00000000" w:rsidDel="00000000" w:rsidP="00000000" w:rsidRDefault="00000000" w:rsidRPr="00000000" w14:paraId="0000003C">
      <w:pPr>
        <w:spacing w:line="280.1454545454545" w:lineRule="auto"/>
        <w:rPr/>
      </w:pPr>
      <w:r w:rsidDel="00000000" w:rsidR="00000000" w:rsidRPr="00000000">
        <w:rPr>
          <w:rtl w:val="0"/>
        </w:rPr>
        <w:t xml:space="preserve">Les épidémies peuvent survenir spontanément à n'importe quel moment de l'année, mais certains facteurs saisonniers augmentent le risque de propagation plus rapide des maladies, ce qui entraîne des flambées épidémiques. En fait, certaines épidémies surviennent à des moments précis de l'année, selon des schémas saisonniers, comme le choléra par exemple, en raison de changements dans les conditions météorologiques (par exemple, la saison des pluies), ou de conditions spécifiques (par exemple, le pèlerinage saisonnier) ou d'activités (par exemple, la saison de la pêche). De nombreuses épidémies se répètent au cours de la même saison ou à la même période de l'année. C'est le cas du paludisme, dont le potentiel épidémique est plus élevé pendant la saison des pluies. Les pics de paludisme pendant la saison des pluies peuvent être fréquents et ne pas nécessairement donner lieu à une épidémie. Une épidémie ne se produit que lorsque les nouveaux cas de la maladie dépassent largement les prévisions.</w:t>
      </w:r>
    </w:p>
    <w:p w:rsidR="00000000" w:rsidDel="00000000" w:rsidP="00000000" w:rsidRDefault="00000000" w:rsidRPr="00000000" w14:paraId="0000003D">
      <w:pPr>
        <w:spacing w:line="280.1454545454545" w:lineRule="auto"/>
        <w:rPr/>
      </w:pPr>
      <w:r w:rsidDel="00000000" w:rsidR="00000000" w:rsidRPr="00000000">
        <w:rPr>
          <w:rtl w:val="0"/>
        </w:rPr>
        <w:t xml:space="preserve">Si nous comprenons les facteurs saisonniers susceptibles d'accroître le risque de voir les maladies évoluer en épidémies dans nos communautés, nous nous mettons dans une meilleure position pour prévenir et contrôler les épidémies que nous pouvons anticiper. Pour ce faire, nous devons cartographier la relation entre les changements saisonniers de la météo, des activités et des événements communautaires, et leur impact sur les risques épidémiques. Une carte saisonnière montre les périodes de l'année potentiellement dangereuses où le risque d'épidémie est le plus élevé. Chaque maladie a son propre schéma saisonnier. L'équipe doit donc connaître la nature de l'agent pathogène</w:t>
      </w:r>
      <w:r w:rsidDel="00000000" w:rsidR="00000000" w:rsidRPr="00000000">
        <w:rPr>
          <w:color w:val="0563c1"/>
          <w:vertAlign w:val="superscript"/>
          <w:rtl w:val="0"/>
        </w:rPr>
        <w:t xml:space="preserve">[2]</w:t>
      </w:r>
      <w:r w:rsidDel="00000000" w:rsidR="00000000" w:rsidRPr="00000000">
        <w:rPr>
          <w:rtl w:val="0"/>
        </w:rPr>
        <w:t xml:space="preserve"> et sa voie de transmission. Cela implique que le profil sanitaire soit impliqué dans les discussions. Les voies de transmission peuvent être trouvées sur le</w:t>
      </w:r>
      <w:hyperlink r:id="rId21">
        <w:r w:rsidDel="00000000" w:rsidR="00000000" w:rsidRPr="00000000">
          <w:rPr>
            <w:rtl w:val="0"/>
          </w:rPr>
          <w:t xml:space="preserve"> </w:t>
        </w:r>
      </w:hyperlink>
      <w:hyperlink r:id="rId22">
        <w:r w:rsidDel="00000000" w:rsidR="00000000" w:rsidRPr="00000000">
          <w:rPr>
            <w:color w:val="0563c1"/>
            <w:u w:val="single"/>
            <w:rtl w:val="0"/>
          </w:rPr>
          <w:t xml:space="preserve">site web de la boîte à outils de lutte contre les épidémies</w:t>
        </w:r>
      </w:hyperlink>
      <w:r w:rsidDel="00000000" w:rsidR="00000000" w:rsidRPr="00000000">
        <w:rPr>
          <w:rtl w:val="0"/>
        </w:rPr>
        <w:t xml:space="preserve">.</w:t>
      </w:r>
    </w:p>
    <w:p w:rsidR="00000000" w:rsidDel="00000000" w:rsidP="00000000" w:rsidRDefault="00000000" w:rsidRPr="00000000" w14:paraId="0000003E">
      <w:pPr>
        <w:spacing w:line="280.1454545454545" w:lineRule="auto"/>
        <w:rPr/>
      </w:pPr>
      <w:r w:rsidDel="00000000" w:rsidR="00000000" w:rsidRPr="00000000">
        <w:rPr>
          <w:rtl w:val="0"/>
        </w:rPr>
        <w:t xml:space="preserve">Il est particulièrement important d'encourager le groupe à parler des événements de la catégorie "santé/maladie", car les maladies qui frappent diffèrent d'une communauté à l'autre. Expliquez qu'au cours de la discussion, d'autres événements peuvent être ajoutés si nécessaire. Il peut s'agir d'événements culturels susceptibles d'avoir un effet sur la santé et la sécurité. Notez les variations saisonnières de la disponibilité des ressources telles que la nourriture, l'eau et les revenus (migration pour le travail). Inclure les périodes d'insécurité alimentaire. Identifier les périodes où la charge de travail, le stress, la violence interpersonnelle et le suicide sont plus élevés.</w:t>
      </w:r>
    </w:p>
    <w:p w:rsidR="00000000" w:rsidDel="00000000" w:rsidP="00000000" w:rsidRDefault="00000000" w:rsidRPr="00000000" w14:paraId="0000003F">
      <w:pPr>
        <w:spacing w:line="280.1454545454545" w:lineRule="auto"/>
        <w:rPr/>
      </w:pPr>
      <w:r w:rsidDel="00000000" w:rsidR="00000000" w:rsidRPr="00000000">
        <w:rPr>
          <w:rtl w:val="0"/>
        </w:rPr>
        <w:t xml:space="preserve">Questions de facilitation connexes :</w:t>
      </w:r>
    </w:p>
    <w:p w:rsidR="00000000" w:rsidDel="00000000" w:rsidP="00000000" w:rsidRDefault="00000000" w:rsidRPr="00000000" w14:paraId="00000040">
      <w:pPr>
        <w:spacing w:after="0" w:lineRule="auto"/>
        <w:ind w:left="1080" w:hanging="36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tl w:val="0"/>
        </w:rPr>
        <w:t xml:space="preserve">Risque : Quelles sont les périodes de l'année où les risques pour la santé et la vie des personnes sont les plus faibles ? Risque plus élevé ?</w:t>
      </w:r>
    </w:p>
    <w:p w:rsidR="00000000" w:rsidDel="00000000" w:rsidP="00000000" w:rsidRDefault="00000000" w:rsidRPr="00000000" w14:paraId="00000041">
      <w:pPr>
        <w:spacing w:after="0" w:lineRule="auto"/>
        <w:ind w:left="1080" w:hanging="36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tl w:val="0"/>
        </w:rPr>
        <w:t xml:space="preserve">Actions possibles : Quelles sont les actions à envisager dans les mois à risque faible ou élevé ?</w:t>
      </w:r>
    </w:p>
    <w:p w:rsidR="00000000" w:rsidDel="00000000" w:rsidP="00000000" w:rsidRDefault="00000000" w:rsidRPr="00000000" w14:paraId="00000042">
      <w:pPr>
        <w:spacing w:after="0" w:lineRule="auto"/>
        <w:ind w:left="1080" w:hanging="36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tl w:val="0"/>
        </w:rPr>
        <w:t xml:space="preserve">Changement de fréquence : Y a-t-il eu un changement dans le calendrier des événements au cours des dernières années ? De quelle manière ?</w:t>
      </w:r>
    </w:p>
    <w:p w:rsidR="00000000" w:rsidDel="00000000" w:rsidP="00000000" w:rsidRDefault="00000000" w:rsidRPr="00000000" w14:paraId="00000043">
      <w:pPr>
        <w:spacing w:after="0" w:lineRule="auto"/>
        <w:ind w:left="1080" w:hanging="36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tl w:val="0"/>
        </w:rPr>
        <w:t xml:space="preserve">Impact des changements : Quels effets ces changements ont-ils eu sur votre ménage et/ou votre communauté ?</w:t>
      </w:r>
    </w:p>
    <w:p w:rsidR="00000000" w:rsidDel="00000000" w:rsidP="00000000" w:rsidRDefault="00000000" w:rsidRPr="00000000" w14:paraId="00000044">
      <w:pPr>
        <w:spacing w:after="0" w:lineRule="auto"/>
        <w:ind w:left="1080" w:hanging="36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tl w:val="0"/>
        </w:rPr>
        <w:t xml:space="preserve">Autres questions : Le facilitateur doit noter d'autres événements importants et en discuter avec le groupe.</w:t>
      </w:r>
    </w:p>
    <w:p w:rsidR="00000000" w:rsidDel="00000000" w:rsidP="00000000" w:rsidRDefault="00000000" w:rsidRPr="00000000" w14:paraId="00000045">
      <w:pPr>
        <w:spacing w:line="280.1454545454545" w:lineRule="auto"/>
        <w:rPr/>
      </w:pPr>
      <w:r w:rsidDel="00000000" w:rsidR="00000000" w:rsidRPr="00000000">
        <w:rPr>
          <w:rtl w:val="0"/>
        </w:rPr>
        <w:t xml:space="preserve"> </w:t>
      </w:r>
    </w:p>
    <w:p w:rsidR="00000000" w:rsidDel="00000000" w:rsidP="00000000" w:rsidRDefault="00000000" w:rsidRPr="00000000" w14:paraId="00000046">
      <w:pPr>
        <w:rPr>
          <w:sz w:val="20"/>
          <w:szCs w:val="20"/>
        </w:rPr>
      </w:pPr>
      <w:r w:rsidDel="00000000" w:rsidR="00000000" w:rsidRPr="00000000">
        <w:rPr>
          <w:rtl w:val="0"/>
        </w:rPr>
      </w:r>
    </w:p>
    <w:p w:rsidR="00000000" w:rsidDel="00000000" w:rsidP="00000000" w:rsidRDefault="00000000" w:rsidRPr="00000000" w14:paraId="00000047">
      <w:pPr>
        <w:rPr>
          <w:sz w:val="20"/>
          <w:szCs w:val="2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8">
      <w:pPr>
        <w:spacing w:after="0" w:lineRule="auto"/>
        <w:rPr>
          <w:sz w:val="20"/>
          <w:szCs w:val="20"/>
        </w:rPr>
      </w:pPr>
      <w:r w:rsidDel="00000000" w:rsidR="00000000" w:rsidRPr="00000000">
        <w:rPr>
          <w:color w:val="0563c1"/>
          <w:sz w:val="20"/>
          <w:szCs w:val="20"/>
          <w:vertAlign w:val="superscript"/>
          <w:rtl w:val="0"/>
        </w:rPr>
        <w:t xml:space="preserve">[1]</w:t>
      </w:r>
      <w:r w:rsidDel="00000000" w:rsidR="00000000" w:rsidRPr="00000000">
        <w:rPr>
          <w:sz w:val="20"/>
          <w:szCs w:val="20"/>
          <w:rtl w:val="0"/>
        </w:rPr>
        <w:t xml:space="preserve"> Infections respiratoires aiguës</w:t>
      </w:r>
    </w:p>
    <w:p w:rsidR="00000000" w:rsidDel="00000000" w:rsidP="00000000" w:rsidRDefault="00000000" w:rsidRPr="00000000" w14:paraId="00000049">
      <w:pPr>
        <w:spacing w:after="0" w:lineRule="auto"/>
        <w:rPr>
          <w:sz w:val="20"/>
          <w:szCs w:val="20"/>
        </w:rPr>
      </w:pPr>
      <w:r w:rsidDel="00000000" w:rsidR="00000000" w:rsidRPr="00000000">
        <w:rPr>
          <w:color w:val="0563c1"/>
          <w:sz w:val="20"/>
          <w:szCs w:val="20"/>
          <w:vertAlign w:val="superscript"/>
          <w:rtl w:val="0"/>
        </w:rPr>
        <w:t xml:space="preserve">[2]</w:t>
      </w:r>
      <w:r w:rsidDel="00000000" w:rsidR="00000000" w:rsidRPr="00000000">
        <w:rPr>
          <w:sz w:val="20"/>
          <w:szCs w:val="20"/>
          <w:rtl w:val="0"/>
        </w:rPr>
        <w:t xml:space="preserve"> Pathogène signifie "tout petit organisme qui peut causer une maladie".</w:t>
      </w:r>
    </w:p>
    <w:p w:rsidR="00000000" w:rsidDel="00000000" w:rsidP="00000000" w:rsidRDefault="00000000" w:rsidRPr="00000000" w14:paraId="0000004A">
      <w:pPr>
        <w:rPr/>
      </w:pPr>
      <w:r w:rsidDel="00000000" w:rsidR="00000000" w:rsidRPr="00000000">
        <w:rPr>
          <w:rtl w:val="0"/>
        </w:rPr>
      </w:r>
    </w:p>
    <w:sectPr>
      <w:headerReference r:id="rId23" w:type="default"/>
      <w:headerReference r:id="rId24" w:type="first"/>
      <w:headerReference r:id="rId25" w:type="even"/>
      <w:footerReference r:id="rId26" w:type="default"/>
      <w:footerReference r:id="rId27" w:type="first"/>
      <w:footerReference r:id="rId28" w:type="even"/>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Calibri"/>
  <w:font w:name="Georgia"/>
  <w:font w:name="Times New Roman"/>
  <w:font w:name="Arial"/>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otnote w:id="0">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hyperlink r:id="rId1">
        <w:r w:rsidDel="00000000" w:rsidR="00000000" w:rsidRPr="00000000">
          <w:rPr>
            <w:rFonts w:ascii="Calibri" w:cs="Calibri" w:eastAsia="Calibri" w:hAnsi="Calibri"/>
            <w:b w:val="0"/>
            <w:i w:val="0"/>
            <w:smallCaps w:val="0"/>
            <w:strike w:val="0"/>
            <w:color w:val="0563c1"/>
            <w:sz w:val="20"/>
            <w:szCs w:val="20"/>
            <w:u w:val="single"/>
            <w:shd w:fill="auto" w:val="clear"/>
            <w:vertAlign w:val="baseline"/>
            <w:rtl w:val="0"/>
          </w:rPr>
          <w:t xml:space="preserve">L’évaluation de la vulnérabilité et des capacités (EVC) sensible au genre et à la diversité, FICR</w:t>
        </w:r>
      </w:hyperlink>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(en anglais)</w:t>
      </w:r>
    </w:p>
  </w:footnote>
  <w:footnote w:id="1">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single"/>
          <w:vertAlign w:val="baseline"/>
          <w:rtl w:val="0"/>
        </w:rPr>
        <w:t xml:space="preserve"> </w:t>
      </w:r>
      <w:hyperlink r:id="rId2">
        <w:r w:rsidDel="00000000" w:rsidR="00000000" w:rsidRPr="00000000">
          <w:rPr>
            <w:rFonts w:ascii="Calibri" w:cs="Calibri" w:eastAsia="Calibri" w:hAnsi="Calibri"/>
            <w:b w:val="0"/>
            <w:i w:val="0"/>
            <w:smallCaps w:val="0"/>
            <w:strike w:val="0"/>
            <w:color w:val="0563c1"/>
            <w:sz w:val="20"/>
            <w:szCs w:val="20"/>
            <w:u w:val="single"/>
            <w:vertAlign w:val="baseline"/>
            <w:rtl w:val="0"/>
          </w:rPr>
          <w:t xml:space="preserve">Centre Climat Croix-Rouge Croissant-Rouge.</w:t>
        </w:r>
      </w:hyperlink>
      <w:hyperlink r:id="rId3">
        <w:r w:rsidDel="00000000" w:rsidR="00000000" w:rsidRPr="00000000">
          <w:rPr>
            <w:rFonts w:ascii="Calibri" w:cs="Calibri" w:eastAsia="Calibri" w:hAnsi="Calibri"/>
            <w:b w:val="0"/>
            <w:i w:val="0"/>
            <w:smallCaps w:val="0"/>
            <w:strike w:val="0"/>
            <w:color w:val="0563c1"/>
            <w:sz w:val="20"/>
            <w:szCs w:val="20"/>
            <w:u w:val="none"/>
            <w:vertAlign w:val="baseline"/>
            <w:rtl w:val="0"/>
          </w:rPr>
          <w:t xml:space="preserve"> </w:t>
        </w:r>
      </w:hyperlink>
      <w:hyperlink r:id="rId4">
        <w:r w:rsidDel="00000000" w:rsidR="00000000" w:rsidRPr="00000000">
          <w:rPr>
            <w:rFonts w:ascii="Calibri" w:cs="Calibri" w:eastAsia="Calibri" w:hAnsi="Calibri"/>
            <w:b w:val="0"/>
            <w:i w:val="0"/>
            <w:smallCaps w:val="0"/>
            <w:strike w:val="0"/>
            <w:color w:val="0563c1"/>
            <w:sz w:val="20"/>
            <w:szCs w:val="20"/>
            <w:u w:val="single"/>
            <w:vertAlign w:val="baseline"/>
            <w:rtl w:val="0"/>
          </w:rPr>
          <w:t xml:space="preserve">« Comment prendre le changement climatique en compte dans les évaluations de la vulnérabilité et des capacités ? », 2012.</w:t>
        </w:r>
      </w:hyperlink>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 (en anglais)</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Le calendrier saisonnier</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5892800</wp:posOffset>
              </wp:positionH>
              <wp:positionV relativeFrom="paragraph">
                <wp:posOffset>0</wp:posOffset>
              </wp:positionV>
              <wp:extent cx="119379" cy="214630"/>
              <wp:effectExtent b="0" l="0" r="0" t="0"/>
              <wp:wrapNone/>
              <wp:docPr id="20" name=""/>
              <a:graphic>
                <a:graphicData uri="http://schemas.microsoft.com/office/word/2010/wordprocessingShape">
                  <wps:wsp>
                    <wps:cNvSpPr/>
                    <wps:cNvPr id="2" name="Shape 2"/>
                    <wps:spPr>
                      <a:xfrm>
                        <a:off x="5292661" y="3679035"/>
                        <a:ext cx="106679" cy="201930"/>
                      </a:xfrm>
                      <a:prstGeom prst="rect">
                        <a:avLst/>
                      </a:prstGeom>
                      <a:solidFill>
                        <a:srgbClr val="00A0DC"/>
                      </a:solidFill>
                      <a:ln cap="flat" cmpd="sng" w="12700">
                        <a:solidFill>
                          <a:srgbClr val="00A0DC"/>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5892800</wp:posOffset>
              </wp:positionH>
              <wp:positionV relativeFrom="paragraph">
                <wp:posOffset>0</wp:posOffset>
              </wp:positionV>
              <wp:extent cx="119379" cy="214630"/>
              <wp:effectExtent b="0" l="0" r="0" t="0"/>
              <wp:wrapNone/>
              <wp:docPr id="20"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119379" cy="214630"/>
                      </a:xfrm>
                      <a:prstGeom prst="rect"/>
                      <a:ln/>
                    </pic:spPr>
                  </pic:pic>
                </a:graphicData>
              </a:graphic>
            </wp:anchor>
          </w:drawing>
        </mc:Fallback>
      </mc:AlternateConten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Calibri" w:cs="Calibri" w:eastAsia="Calibri" w:hAnsi="Calibri"/>
        <w:sz w:val="24"/>
        <w:szCs w:val="24"/>
        <w:lang w:val="fr"/>
      </w:rPr>
    </w:rPrDefault>
    <w:pPrDefault>
      <w:pPr>
        <w:spacing w:after="160" w:line="259"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1F3245"/>
    <w:pPr>
      <w:jc w:val="both"/>
    </w:pPr>
    <w:rPr>
      <w:sz w:val="24"/>
    </w:rPr>
  </w:style>
  <w:style w:type="paragraph" w:styleId="Heading1">
    <w:name w:val="heading 1"/>
    <w:basedOn w:val="Normal"/>
    <w:next w:val="Normal"/>
    <w:link w:val="Heading1Char"/>
    <w:uiPriority w:val="9"/>
    <w:qFormat w:val="1"/>
    <w:rsid w:val="006B2C92"/>
    <w:pPr>
      <w:keepNext w:val="1"/>
      <w:keepLines w:val="1"/>
      <w:spacing w:after="0" w:before="240" w:line="240" w:lineRule="auto"/>
      <w:outlineLvl w:val="0"/>
    </w:pPr>
    <w:rPr>
      <w:rFonts w:asciiTheme="majorHAnsi" w:cstheme="majorBidi" w:eastAsiaTheme="majorEastAsia" w:hAnsiTheme="majorHAnsi"/>
      <w:color w:val="2f5496" w:themeColor="accent1" w:themeShade="0000BF"/>
      <w:sz w:val="32"/>
      <w:szCs w:val="32"/>
      <w:lang w:val="en-US"/>
    </w:rPr>
  </w:style>
  <w:style w:type="paragraph" w:styleId="Heading2">
    <w:name w:val="heading 2"/>
    <w:basedOn w:val="Normal"/>
    <w:next w:val="Normal"/>
    <w:link w:val="Heading2Char"/>
    <w:uiPriority w:val="9"/>
    <w:unhideWhenUsed w:val="1"/>
    <w:qFormat w:val="1"/>
    <w:rsid w:val="006B2C92"/>
    <w:pPr>
      <w:keepNext w:val="1"/>
      <w:keepLines w:val="1"/>
      <w:spacing w:after="0" w:before="40"/>
      <w:outlineLvl w:val="1"/>
    </w:pPr>
    <w:rPr>
      <w:rFonts w:asciiTheme="majorHAnsi" w:cstheme="majorBidi" w:eastAsiaTheme="majorEastAsia" w:hAnsiTheme="majorHAnsi"/>
      <w:color w:val="2f5496" w:themeColor="accent1" w:themeShade="0000BF"/>
      <w:sz w:val="26"/>
      <w:szCs w:val="2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6B2C92"/>
    <w:rPr>
      <w:rFonts w:asciiTheme="majorHAnsi" w:cstheme="majorBidi" w:eastAsiaTheme="majorEastAsia" w:hAnsiTheme="majorHAnsi"/>
      <w:color w:val="2f5496" w:themeColor="accent1" w:themeShade="0000BF"/>
      <w:sz w:val="32"/>
      <w:szCs w:val="32"/>
      <w:lang w:val="en-US"/>
    </w:rPr>
  </w:style>
  <w:style w:type="character" w:styleId="Heading2Char" w:customStyle="1">
    <w:name w:val="Heading 2 Char"/>
    <w:basedOn w:val="DefaultParagraphFont"/>
    <w:link w:val="Heading2"/>
    <w:uiPriority w:val="9"/>
    <w:rsid w:val="006B2C92"/>
    <w:rPr>
      <w:rFonts w:asciiTheme="majorHAnsi" w:cstheme="majorBidi" w:eastAsiaTheme="majorEastAsia" w:hAnsiTheme="majorHAnsi"/>
      <w:color w:val="2f5496" w:themeColor="accent1" w:themeShade="0000BF"/>
      <w:sz w:val="26"/>
      <w:szCs w:val="26"/>
    </w:rPr>
  </w:style>
  <w:style w:type="paragraph" w:styleId="ListParagraph">
    <w:name w:val="List Paragraph"/>
    <w:basedOn w:val="Normal"/>
    <w:uiPriority w:val="34"/>
    <w:qFormat w:val="1"/>
    <w:rsid w:val="006B2C92"/>
    <w:pPr>
      <w:spacing w:after="80" w:line="240" w:lineRule="auto"/>
      <w:ind w:left="720"/>
      <w:contextualSpacing w:val="1"/>
    </w:pPr>
    <w:rPr>
      <w:rFonts w:eastAsiaTheme="minorEastAsia"/>
      <w:lang w:eastAsia="en-GB"/>
    </w:rPr>
  </w:style>
  <w:style w:type="paragraph" w:styleId="Footer">
    <w:name w:val="footer"/>
    <w:basedOn w:val="Normal"/>
    <w:link w:val="FooterChar"/>
    <w:uiPriority w:val="99"/>
    <w:unhideWhenUsed w:val="1"/>
    <w:rsid w:val="006B2C92"/>
    <w:pPr>
      <w:tabs>
        <w:tab w:val="center" w:pos="4513"/>
        <w:tab w:val="right" w:pos="9026"/>
      </w:tabs>
      <w:spacing w:after="0" w:line="240" w:lineRule="auto"/>
    </w:pPr>
    <w:rPr>
      <w:rFonts w:ascii="Arial" w:cs="Times New Roman" w:eastAsia="Cambria" w:hAnsi="Arial"/>
      <w:szCs w:val="24"/>
      <w:lang w:val="en-US"/>
    </w:rPr>
  </w:style>
  <w:style w:type="character" w:styleId="FooterChar" w:customStyle="1">
    <w:name w:val="Footer Char"/>
    <w:basedOn w:val="DefaultParagraphFont"/>
    <w:link w:val="Footer"/>
    <w:uiPriority w:val="99"/>
    <w:rsid w:val="006B2C92"/>
    <w:rPr>
      <w:rFonts w:ascii="Arial" w:cs="Times New Roman" w:eastAsia="Cambria" w:hAnsi="Arial"/>
      <w:szCs w:val="24"/>
      <w:lang w:val="en-US"/>
    </w:rPr>
  </w:style>
  <w:style w:type="paragraph" w:styleId="Header">
    <w:name w:val="header"/>
    <w:basedOn w:val="Normal"/>
    <w:link w:val="HeaderChar"/>
    <w:uiPriority w:val="99"/>
    <w:unhideWhenUsed w:val="1"/>
    <w:rsid w:val="006B2C92"/>
    <w:pPr>
      <w:tabs>
        <w:tab w:val="center" w:pos="4513"/>
        <w:tab w:val="right" w:pos="9026"/>
      </w:tabs>
      <w:spacing w:after="0" w:line="240" w:lineRule="auto"/>
    </w:pPr>
  </w:style>
  <w:style w:type="character" w:styleId="HeaderChar" w:customStyle="1">
    <w:name w:val="Header Char"/>
    <w:basedOn w:val="DefaultParagraphFont"/>
    <w:link w:val="Header"/>
    <w:uiPriority w:val="99"/>
    <w:rsid w:val="006B2C92"/>
  </w:style>
  <w:style w:type="paragraph" w:styleId="BalloonText">
    <w:name w:val="Balloon Text"/>
    <w:basedOn w:val="Normal"/>
    <w:link w:val="BalloonTextChar"/>
    <w:uiPriority w:val="99"/>
    <w:semiHidden w:val="1"/>
    <w:unhideWhenUsed w:val="1"/>
    <w:rsid w:val="00BA0B1F"/>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BA0B1F"/>
    <w:rPr>
      <w:rFonts w:ascii="Segoe UI" w:cs="Segoe UI" w:hAnsi="Segoe UI"/>
      <w:sz w:val="18"/>
      <w:szCs w:val="18"/>
    </w:rPr>
  </w:style>
  <w:style w:type="paragraph" w:styleId="FootnoteText">
    <w:name w:val="footnote text"/>
    <w:basedOn w:val="Normal"/>
    <w:link w:val="FootnoteTextChar"/>
    <w:uiPriority w:val="99"/>
    <w:unhideWhenUsed w:val="1"/>
    <w:rsid w:val="00BA0B1F"/>
    <w:pPr>
      <w:spacing w:after="0" w:line="240" w:lineRule="auto"/>
    </w:pPr>
    <w:rPr>
      <w:sz w:val="20"/>
      <w:szCs w:val="20"/>
    </w:rPr>
  </w:style>
  <w:style w:type="character" w:styleId="FootnoteTextChar" w:customStyle="1">
    <w:name w:val="Footnote Text Char"/>
    <w:basedOn w:val="DefaultParagraphFont"/>
    <w:link w:val="FootnoteText"/>
    <w:uiPriority w:val="99"/>
    <w:rsid w:val="00BA0B1F"/>
    <w:rPr>
      <w:sz w:val="20"/>
      <w:szCs w:val="20"/>
    </w:rPr>
  </w:style>
  <w:style w:type="character" w:styleId="FootnoteReference">
    <w:name w:val="footnote reference"/>
    <w:basedOn w:val="DefaultParagraphFont"/>
    <w:uiPriority w:val="99"/>
    <w:semiHidden w:val="1"/>
    <w:unhideWhenUsed w:val="1"/>
    <w:rsid w:val="00BA0B1F"/>
    <w:rPr>
      <w:vertAlign w:val="superscript"/>
    </w:rPr>
  </w:style>
  <w:style w:type="character" w:styleId="Hyperlink">
    <w:name w:val="Hyperlink"/>
    <w:basedOn w:val="DefaultParagraphFont"/>
    <w:uiPriority w:val="99"/>
    <w:unhideWhenUsed w:val="1"/>
    <w:rsid w:val="00077224"/>
    <w:rPr>
      <w:color w:val="0563c1" w:themeColor="hyperlink"/>
      <w:u w:val="single"/>
    </w:rPr>
  </w:style>
  <w:style w:type="character" w:styleId="UnresolvedMention1" w:customStyle="1">
    <w:name w:val="Unresolved Mention1"/>
    <w:basedOn w:val="DefaultParagraphFont"/>
    <w:uiPriority w:val="99"/>
    <w:semiHidden w:val="1"/>
    <w:unhideWhenUsed w:val="1"/>
    <w:rsid w:val="00077224"/>
    <w:rPr>
      <w:color w:val="808080"/>
      <w:shd w:color="auto" w:fill="e6e6e6" w:val="clear"/>
    </w:rPr>
  </w:style>
  <w:style w:type="paragraph" w:styleId="Caption">
    <w:name w:val="caption"/>
    <w:basedOn w:val="Normal"/>
    <w:next w:val="Normal"/>
    <w:uiPriority w:val="35"/>
    <w:unhideWhenUsed w:val="1"/>
    <w:qFormat w:val="1"/>
    <w:rsid w:val="005F31CC"/>
    <w:pPr>
      <w:spacing w:after="200" w:line="240" w:lineRule="auto"/>
    </w:pPr>
    <w:rPr>
      <w:i w:val="1"/>
      <w:iCs w:val="1"/>
      <w:color w:val="44546a" w:themeColor="text2"/>
      <w:sz w:val="18"/>
      <w:szCs w:val="18"/>
    </w:rPr>
  </w:style>
  <w:style w:type="paragraph" w:styleId="Default" w:customStyle="1">
    <w:name w:val="Default"/>
    <w:rsid w:val="007521F4"/>
    <w:pPr>
      <w:autoSpaceDE w:val="0"/>
      <w:autoSpaceDN w:val="0"/>
      <w:adjustRightInd w:val="0"/>
      <w:spacing w:after="0" w:line="240" w:lineRule="auto"/>
    </w:pPr>
    <w:rPr>
      <w:rFonts w:ascii="Calibri" w:cs="Calibri" w:hAnsi="Calibri"/>
      <w:color w:val="000000"/>
      <w:sz w:val="24"/>
      <w:szCs w:val="24"/>
    </w:rPr>
  </w:style>
  <w:style w:type="table" w:styleId="GridTable1LightAccent1" w:customStyle="1">
    <w:name w:val="Grid Table 1 Light Accent 1"/>
    <w:basedOn w:val="TableNormal"/>
    <w:uiPriority w:val="46"/>
    <w:rsid w:val="007521F4"/>
    <w:pPr>
      <w:spacing w:after="0" w:line="240" w:lineRule="auto"/>
    </w:pPr>
    <w:tblPr>
      <w:tblStyleRowBandSize w:val="1"/>
      <w:tblStyleColBandSize w:val="1"/>
      <w:tblInd w:w="0.0" w:type="dxa"/>
      <w:tblBorders>
        <w:top w:color="b4c6e7" w:space="0" w:sz="4" w:themeColor="accent1" w:themeTint="000066" w:val="single"/>
        <w:left w:color="b4c6e7" w:space="0" w:sz="4" w:themeColor="accent1" w:themeTint="000066" w:val="single"/>
        <w:bottom w:color="b4c6e7" w:space="0" w:sz="4" w:themeColor="accent1" w:themeTint="000066" w:val="single"/>
        <w:right w:color="b4c6e7" w:space="0" w:sz="4" w:themeColor="accent1" w:themeTint="000066" w:val="single"/>
        <w:insideH w:color="b4c6e7" w:space="0" w:sz="4" w:themeColor="accent1" w:themeTint="000066" w:val="single"/>
        <w:insideV w:color="b4c6e7" w:space="0" w:sz="4" w:themeColor="accent1" w:themeTint="000066" w:val="single"/>
      </w:tblBorders>
      <w:tblCellMar>
        <w:top w:w="0.0" w:type="dxa"/>
        <w:left w:w="108.0" w:type="dxa"/>
        <w:bottom w:w="0.0" w:type="dxa"/>
        <w:right w:w="108.0" w:type="dxa"/>
      </w:tblCellMar>
    </w:tblPr>
    <w:tblStylePr w:type="firstRow">
      <w:rPr>
        <w:b w:val="1"/>
        <w:bCs w:val="1"/>
      </w:rPr>
      <w:tblPr/>
      <w:tcPr>
        <w:tcBorders>
          <w:bottom w:color="8eaadb" w:space="0" w:sz="12" w:themeColor="accent1" w:themeTint="000099" w:val="single"/>
        </w:tcBorders>
      </w:tcPr>
    </w:tblStylePr>
    <w:tblStylePr w:type="lastRow">
      <w:rPr>
        <w:b w:val="1"/>
        <w:bCs w:val="1"/>
      </w:rPr>
      <w:tblPr/>
      <w:tcPr>
        <w:tcBorders>
          <w:top w:color="8eaadb" w:space="0" w:sz="2" w:themeColor="accent1" w:themeTint="000099" w:val="double"/>
        </w:tcBorders>
      </w:tcPr>
    </w:tblStylePr>
    <w:tblStylePr w:type="firstCol">
      <w:rPr>
        <w:b w:val="1"/>
        <w:bCs w:val="1"/>
      </w:rPr>
    </w:tblStylePr>
    <w:tblStylePr w:type="lastCol">
      <w:rPr>
        <w:b w:val="1"/>
        <w:bCs w:val="1"/>
      </w:rPr>
    </w:tblStylePr>
  </w:style>
  <w:style w:type="character" w:styleId="CommentReference">
    <w:name w:val="annotation reference"/>
    <w:basedOn w:val="DefaultParagraphFont"/>
    <w:uiPriority w:val="99"/>
    <w:semiHidden w:val="1"/>
    <w:unhideWhenUsed w:val="1"/>
    <w:rsid w:val="008509E1"/>
    <w:rPr>
      <w:sz w:val="16"/>
      <w:szCs w:val="16"/>
    </w:rPr>
  </w:style>
  <w:style w:type="paragraph" w:styleId="CommentText">
    <w:name w:val="annotation text"/>
    <w:basedOn w:val="Normal"/>
    <w:link w:val="CommentTextChar"/>
    <w:uiPriority w:val="99"/>
    <w:semiHidden w:val="1"/>
    <w:unhideWhenUsed w:val="1"/>
    <w:rsid w:val="008509E1"/>
    <w:pPr>
      <w:spacing w:line="240" w:lineRule="auto"/>
    </w:pPr>
    <w:rPr>
      <w:sz w:val="20"/>
      <w:szCs w:val="20"/>
    </w:rPr>
  </w:style>
  <w:style w:type="character" w:styleId="CommentTextChar" w:customStyle="1">
    <w:name w:val="Comment Text Char"/>
    <w:basedOn w:val="DefaultParagraphFont"/>
    <w:link w:val="CommentText"/>
    <w:uiPriority w:val="99"/>
    <w:semiHidden w:val="1"/>
    <w:rsid w:val="008509E1"/>
    <w:rPr>
      <w:sz w:val="20"/>
      <w:szCs w:val="20"/>
    </w:rPr>
  </w:style>
  <w:style w:type="paragraph" w:styleId="CommentSubject">
    <w:name w:val="annotation subject"/>
    <w:basedOn w:val="CommentText"/>
    <w:next w:val="CommentText"/>
    <w:link w:val="CommentSubjectChar"/>
    <w:uiPriority w:val="99"/>
    <w:semiHidden w:val="1"/>
    <w:unhideWhenUsed w:val="1"/>
    <w:rsid w:val="008509E1"/>
    <w:rPr>
      <w:b w:val="1"/>
      <w:bCs w:val="1"/>
    </w:rPr>
  </w:style>
  <w:style w:type="character" w:styleId="CommentSubjectChar" w:customStyle="1">
    <w:name w:val="Comment Subject Char"/>
    <w:basedOn w:val="CommentTextChar"/>
    <w:link w:val="CommentSubject"/>
    <w:uiPriority w:val="99"/>
    <w:semiHidden w:val="1"/>
    <w:rsid w:val="008509E1"/>
    <w:rPr>
      <w:b w:val="1"/>
      <w:bCs w:val="1"/>
      <w:sz w:val="20"/>
      <w:szCs w:val="20"/>
    </w:rPr>
  </w:style>
  <w:style w:type="character" w:styleId="UnresolvedMention" w:customStyle="1">
    <w:name w:val="Unresolved Mention"/>
    <w:basedOn w:val="DefaultParagraphFont"/>
    <w:uiPriority w:val="99"/>
    <w:semiHidden w:val="1"/>
    <w:unhideWhenUsed w:val="1"/>
    <w:rsid w:val="00182196"/>
    <w:rPr>
      <w:color w:val="808080"/>
      <w:shd w:color="auto" w:fill="e6e6e6" w:val="clear"/>
    </w:rPr>
  </w:style>
  <w:style w:type="character" w:styleId="FollowedHyperlink">
    <w:name w:val="FollowedHyperlink"/>
    <w:basedOn w:val="DefaultParagraphFont"/>
    <w:uiPriority w:val="99"/>
    <w:semiHidden w:val="1"/>
    <w:unhideWhenUsed w:val="1"/>
    <w:rsid w:val="00182196"/>
    <w:rPr>
      <w:color w:val="954f72" w:themeColor="followed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image" Target="media/image2.png"/><Relationship Id="rId22" Type="http://schemas.openxmlformats.org/officeDocument/2006/relationships/hyperlink" Target="https://epidemics.ifrc.org/volunteer/disease" TargetMode="External"/><Relationship Id="rId21" Type="http://schemas.openxmlformats.org/officeDocument/2006/relationships/hyperlink" Target="https://epidemics.ifrc.org/volunteer/disease" TargetMode="External"/><Relationship Id="rId24" Type="http://schemas.openxmlformats.org/officeDocument/2006/relationships/header" Target="header3.xml"/><Relationship Id="rId23"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7.png"/><Relationship Id="rId26" Type="http://schemas.openxmlformats.org/officeDocument/2006/relationships/footer" Target="footer3.xml"/><Relationship Id="rId25" Type="http://schemas.openxmlformats.org/officeDocument/2006/relationships/header" Target="header2.xml"/><Relationship Id="rId28" Type="http://schemas.openxmlformats.org/officeDocument/2006/relationships/footer" Target="footer1.xml"/><Relationship Id="rId27" Type="http://schemas.openxmlformats.org/officeDocument/2006/relationships/footer" Target="foot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www.ifrcvca.org/seasonal-calendar" TargetMode="External"/><Relationship Id="rId11" Type="http://schemas.openxmlformats.org/officeDocument/2006/relationships/image" Target="media/image9.png"/><Relationship Id="rId10" Type="http://schemas.openxmlformats.org/officeDocument/2006/relationships/image" Target="media/image3.png"/><Relationship Id="rId13" Type="http://schemas.openxmlformats.org/officeDocument/2006/relationships/hyperlink" Target="https://docs.wixstatic.com/ugd/7baf5b_ea7bdbb5fa454ec59dc69ed30e1d3265.pdf" TargetMode="External"/><Relationship Id="rId12" Type="http://schemas.openxmlformats.org/officeDocument/2006/relationships/image" Target="media/image1.png"/><Relationship Id="rId15" Type="http://schemas.openxmlformats.org/officeDocument/2006/relationships/hyperlink" Target="http://www.ifrc.org/Global/Publications/disasters/reducing_risks/VCA/1260200-VCA-EN-LR2.pdf" TargetMode="External"/><Relationship Id="rId14" Type="http://schemas.openxmlformats.org/officeDocument/2006/relationships/hyperlink" Target="https://www.ifrcvca.org/historical-profile" TargetMode="External"/><Relationship Id="rId17" Type="http://schemas.openxmlformats.org/officeDocument/2006/relationships/image" Target="media/image8.png"/><Relationship Id="rId16" Type="http://schemas.openxmlformats.org/officeDocument/2006/relationships/hyperlink" Target="https://www.dropbox.com/s/dr1ghyxsycap0u7/3CA.FacilitatorsGuide.FINAL.pdf?dl=0" TargetMode="External"/><Relationship Id="rId19" Type="http://schemas.openxmlformats.org/officeDocument/2006/relationships/image" Target="media/image6.png"/><Relationship Id="rId18" Type="http://schemas.openxmlformats.org/officeDocument/2006/relationships/image" Target="media/image4.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notes.xml.rels><?xml version="1.0" encoding="UTF-8" standalone="yes"?><Relationships xmlns="http://schemas.openxmlformats.org/package/2006/relationships"><Relationship Id="rId1" Type="http://schemas.openxmlformats.org/officeDocument/2006/relationships/hyperlink" Target="https://docs.wixstatic.com/ugd/7baf5b_ece27859d67347539a37a75c700cb484.pdf" TargetMode="External"/><Relationship Id="rId2" Type="http://schemas.openxmlformats.org/officeDocument/2006/relationships/hyperlink" Target="https://docs.wixstatic.com/ugd/7baf5b_ea7bdbb5fa454ec59dc69ed30e1d3265.pdf" TargetMode="External"/><Relationship Id="rId3" Type="http://schemas.openxmlformats.org/officeDocument/2006/relationships/hyperlink" Target="https://docs.wixstatic.com/ugd/7baf5b_ea7bdbb5fa454ec59dc69ed30e1d3265.pdf" TargetMode="External"/><Relationship Id="rId4" Type="http://schemas.openxmlformats.org/officeDocument/2006/relationships/hyperlink" Target="https://docs.wixstatic.com/ugd/7baf5b_ea7bdbb5fa454ec59dc69ed30e1d3265.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mmp4a78YNkKafOwSmbg5RxWr8wQ==">CgMxLjAyCGguZ2pkZ3hzMgloLjMwajB6bGw4AHIhMVJmVDQtSDNGSHQtdXdJSndkOHpBSGp3aElKb1VDdTNn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2018-12-08T14:32:00Z</dcterms:created>
  <dc:creator>Lucia ROBLES DIOS</dc:creator>
</cp:coreProperties>
</file>