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pStyle w:val="Title"/>
        <w:pBdr>
          <w:bottom w:color="00a0dc" w:space="1" w:sz="18" w:val="single"/>
        </w:pBdr>
        <w:spacing w:line="276" w:lineRule="auto"/>
        <w:jc w:val="left"/>
        <w:rPr>
          <w:color w:val="00a0dc"/>
          <w:sz w:val="80"/>
          <w:szCs w:val="80"/>
        </w:rPr>
      </w:pPr>
      <w:r w:rsidDel="00000000" w:rsidR="00000000" w:rsidRPr="00000000">
        <w:rPr>
          <w:color w:val="00a0dc"/>
          <w:sz w:val="80"/>
          <w:szCs w:val="80"/>
          <w:rtl w:val="0"/>
        </w:rPr>
        <w:t xml:space="preserve">Étude des sources secondaires</w:t>
      </w:r>
    </w:p>
    <w:p w:rsidR="00000000" w:rsidDel="00000000" w:rsidP="00000000" w:rsidRDefault="00000000" w:rsidRPr="00000000" w14:paraId="00000003">
      <w:pPr>
        <w:pStyle w:val="Heading1"/>
        <w:rPr/>
      </w:pPr>
      <w:r w:rsidDel="00000000" w:rsidR="00000000" w:rsidRPr="00000000">
        <w:rPr>
          <w:b w:val="1"/>
          <w:sz w:val="32"/>
          <w:szCs w:val="32"/>
        </w:rPr>
        <mc:AlternateContent>
          <mc:Choice Requires="wpg">
            <w:drawing>
              <wp:anchor allowOverlap="1" behindDoc="0" distB="0" distT="0" distL="114300" distR="114300" hidden="0" layoutInCell="1" locked="0" relativeHeight="0" simplePos="0">
                <wp:simplePos x="0" y="0"/>
                <wp:positionH relativeFrom="margin">
                  <wp:posOffset>3633788</wp:posOffset>
                </wp:positionH>
                <wp:positionV relativeFrom="page">
                  <wp:posOffset>1814513</wp:posOffset>
                </wp:positionV>
                <wp:extent cx="2182495" cy="3571875"/>
                <wp:effectExtent b="0" l="0" r="0" t="0"/>
                <wp:wrapSquare wrapText="bothSides" distB="0" distT="0" distL="114300" distR="114300"/>
                <wp:docPr id="199" name=""/>
                <a:graphic>
                  <a:graphicData uri="http://schemas.microsoft.com/office/word/2010/wordprocessingShape">
                    <wps:wsp>
                      <wps:cNvSpPr/>
                      <wps:cNvPr id="5" name="Shape 5"/>
                      <wps:spPr>
                        <a:xfrm>
                          <a:off x="4269040" y="2008350"/>
                          <a:ext cx="2153920" cy="3543300"/>
                        </a:xfrm>
                        <a:custGeom>
                          <a:rect b="b" l="l" r="r" t="t"/>
                          <a:pathLst>
                            <a:path extrusionOk="0" h="3543300" w="2153920">
                              <a:moveTo>
                                <a:pt x="358994" y="0"/>
                              </a:moveTo>
                              <a:lnTo>
                                <a:pt x="2153920" y="0"/>
                              </a:lnTo>
                              <a:lnTo>
                                <a:pt x="2153920" y="0"/>
                              </a:lnTo>
                              <a:lnTo>
                                <a:pt x="2153920" y="3184306"/>
                              </a:lnTo>
                              <a:cubicBezTo>
                                <a:pt x="2153920" y="3382573"/>
                                <a:pt x="1993193" y="3543300"/>
                                <a:pt x="1794926" y="3543300"/>
                              </a:cubicBezTo>
                              <a:lnTo>
                                <a:pt x="0" y="3543300"/>
                              </a:lnTo>
                              <a:lnTo>
                                <a:pt x="0" y="3543300"/>
                              </a:lnTo>
                              <a:lnTo>
                                <a:pt x="0" y="358994"/>
                              </a:lnTo>
                              <a:cubicBezTo>
                                <a:pt x="0" y="160727"/>
                                <a:pt x="160727" y="0"/>
                                <a:pt x="358994" y="0"/>
                              </a:cubicBezTo>
                              <a:close/>
                            </a:path>
                          </a:pathLst>
                        </a:custGeom>
                        <a:solidFill>
                          <a:srgbClr val="FFFFFF"/>
                        </a:solidFill>
                        <a:ln cap="flat" cmpd="sng" w="2857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0"/>
                                <w:vertAlign w:val="baseline"/>
                              </w:rPr>
                              <w:t xml:space="preserve">Variable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Ordinateur connecté à Internet, livres et autres publications.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0"/>
                                <w:vertAlign w:val="baseline"/>
                              </w:rPr>
                              <w:t xml:space="preserve">Caractéristiques de la résilience couvertes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0"/>
                                <w:vertAlign w:val="baseline"/>
                              </w:rPr>
                            </w:r>
                          </w:p>
                        </w:txbxContent>
                      </wps:txbx>
                      <wps:bodyPr anchorCtr="0" anchor="t" bIns="45700" lIns="114300" spcFirstLastPara="1" rIns="114300"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3633788</wp:posOffset>
                </wp:positionH>
                <wp:positionV relativeFrom="page">
                  <wp:posOffset>1814513</wp:posOffset>
                </wp:positionV>
                <wp:extent cx="2182495" cy="3571875"/>
                <wp:effectExtent b="0" l="0" r="0" t="0"/>
                <wp:wrapSquare wrapText="bothSides" distB="0" distT="0" distL="114300" distR="114300"/>
                <wp:docPr id="199"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2182495" cy="3571875"/>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5324475</wp:posOffset>
                </wp:positionH>
                <wp:positionV relativeFrom="paragraph">
                  <wp:posOffset>219472</wp:posOffset>
                </wp:positionV>
                <wp:extent cx="1157288" cy="442981"/>
                <wp:effectExtent b="0" l="0" r="0" t="0"/>
                <wp:wrapNone/>
                <wp:docPr id="197" name=""/>
                <a:graphic>
                  <a:graphicData uri="http://schemas.microsoft.com/office/word/2010/wordprocessingShape">
                    <wps:wsp>
                      <wps:cNvSpPr/>
                      <wps:cNvPr id="3" name="Shape 3"/>
                      <wps:spPr>
                        <a:xfrm>
                          <a:off x="4667625" y="2990325"/>
                          <a:ext cx="1971300" cy="740400"/>
                        </a:xfrm>
                        <a:prstGeom prst="wedgeRectCallout">
                          <a:avLst>
                            <a:gd fmla="val -73222" name="adj1"/>
                            <a:gd fmla="val 54298" name="adj2"/>
                          </a:avLst>
                        </a:prstGeom>
                        <a:solidFill>
                          <a:srgbClr val="4472C4"/>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Voir 1ere colonne du tableau à la page 7 dans le document « Problem Tree » pour les traductions de ces termes.</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5324475</wp:posOffset>
                </wp:positionH>
                <wp:positionV relativeFrom="paragraph">
                  <wp:posOffset>219472</wp:posOffset>
                </wp:positionV>
                <wp:extent cx="1157288" cy="442981"/>
                <wp:effectExtent b="0" l="0" r="0" t="0"/>
                <wp:wrapNone/>
                <wp:docPr id="197"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1157288" cy="442981"/>
                        </a:xfrm>
                        <a:prstGeom prst="rect"/>
                        <a:ln/>
                      </pic:spPr>
                    </pic:pic>
                  </a:graphicData>
                </a:graphic>
              </wp:anchor>
            </w:drawing>
          </mc:Fallback>
        </mc:AlternateContent>
      </w:r>
    </w:p>
    <w:p w:rsidR="00000000" w:rsidDel="00000000" w:rsidP="00000000" w:rsidRDefault="00000000" w:rsidRPr="00000000" w14:paraId="00000004">
      <w:pPr>
        <w:pStyle w:val="Heading1"/>
        <w:rPr/>
      </w:pPr>
      <w:r w:rsidDel="00000000" w:rsidR="00000000" w:rsidRPr="00000000">
        <w:rPr>
          <w:rtl w:val="0"/>
        </w:rPr>
        <w:t xml:space="preserve">De quoi s’agit-il ?</w:t>
      </w:r>
      <w:r w:rsidDel="00000000" w:rsidR="00000000" w:rsidRPr="00000000">
        <w:drawing>
          <wp:anchor allowOverlap="1" behindDoc="0" distB="0" distT="0" distL="114300" distR="114300" hidden="0" layoutInCell="1" locked="0" relativeHeight="0" simplePos="0">
            <wp:simplePos x="0" y="0"/>
            <wp:positionH relativeFrom="column">
              <wp:posOffset>3733801</wp:posOffset>
            </wp:positionH>
            <wp:positionV relativeFrom="paragraph">
              <wp:posOffset>266700</wp:posOffset>
            </wp:positionV>
            <wp:extent cx="1985622" cy="2152015"/>
            <wp:effectExtent b="0" l="0" r="0" t="0"/>
            <wp:wrapNone/>
            <wp:docPr descr="D:\Users\Lucia.Roblesdios\Dropbox\Tools\2. Secondary sources\Secondary sources - characteristics.png" id="201" name="image2.png"/>
            <a:graphic>
              <a:graphicData uri="http://schemas.openxmlformats.org/drawingml/2006/picture">
                <pic:pic>
                  <pic:nvPicPr>
                    <pic:cNvPr descr="D:\Users\Lucia.Roblesdios\Dropbox\Tools\2. Secondary sources\Secondary sources - characteristics.png" id="0" name="image2.png"/>
                    <pic:cNvPicPr preferRelativeResize="0"/>
                  </pic:nvPicPr>
                  <pic:blipFill>
                    <a:blip r:embed="rId12"/>
                    <a:srcRect b="18537" l="3471" r="18871" t="18374"/>
                    <a:stretch>
                      <a:fillRect/>
                    </a:stretch>
                  </pic:blipFill>
                  <pic:spPr>
                    <a:xfrm>
                      <a:off x="0" y="0"/>
                      <a:ext cx="1985622" cy="2152015"/>
                    </a:xfrm>
                    <a:prstGeom prst="rect"/>
                    <a:ln/>
                  </pic:spPr>
                </pic:pic>
              </a:graphicData>
            </a:graphic>
          </wp:anchor>
        </w:drawing>
      </w:r>
    </w:p>
    <w:p w:rsidR="00000000" w:rsidDel="00000000" w:rsidP="00000000" w:rsidRDefault="00000000" w:rsidRPr="00000000" w14:paraId="00000005">
      <w:pPr>
        <w:rPr/>
      </w:pPr>
      <w:r w:rsidDel="00000000" w:rsidR="00000000" w:rsidRPr="00000000">
        <w:rPr>
          <w:rtl w:val="0"/>
        </w:rPr>
        <w:t xml:space="preserve"> L’étude des sources secondaires consiste à recueillir des informations qui existent déjà, habituellement sous forme de rapports, de documents ou de données, auprès d’autres organisations, d’autorités publiques locales et d’institutions sociales. Cet exercice permet de dresser un tableau d’ensemble de la communauté.</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Les sources secondaires ne devraient pas être limitées aux documents concernant strictement la communauté, mais englober toutes les sources d’information externes pouvant être utiles à l’EVCA. Il peut s’agir de cartes des risques et d’informations sur le changement climatique ou sur les changements d’occupation des sols susceptibles d’influer sur l’écoulement d’un cours d’eau, de plans d’infrastructure, de cartes du bassin d’un cours d’eau, etc.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1"/>
        <w:rPr>
          <w:rFonts w:ascii="Times New Roman" w:cs="Times New Roman" w:eastAsia="Times New Roman" w:hAnsi="Times New Roman"/>
        </w:rPr>
      </w:pPr>
      <w:r w:rsidDel="00000000" w:rsidR="00000000" w:rsidRPr="00000000">
        <w:rPr>
          <w:rtl w:val="0"/>
        </w:rPr>
        <w:t xml:space="preserve">Utilisez-la pour...</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Obtenir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une vue d’ensemble de la situation à partir des travaux déjà effectués par d’autres personnes.</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Vérifier les informations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que vous avez obtenues par d’autres moyens.</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Dresser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un aperçu des difficultés auxquelles la communauté est confrontée et l’historique des mesures prises jusque-là pour les résoudre, y pour obtenir des informations qui ne peuvent pas être recueillies au niveau communautaire (ex. sur les aléas peu fréquents ou les risques qui évoluent, comme le changement climatique). </w:t>
      </w:r>
    </w:p>
    <w:p w:rsidR="00000000" w:rsidDel="00000000" w:rsidP="00000000" w:rsidRDefault="00000000" w:rsidRPr="00000000" w14:paraId="0000000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Contribuer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aux données de référence de la communauté.</w:t>
      </w:r>
    </w:p>
    <w:p w:rsidR="00000000" w:rsidDel="00000000" w:rsidP="00000000" w:rsidRDefault="00000000" w:rsidRPr="00000000" w14:paraId="0000000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Recueillir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des informations à une plus grande échelle géographique pour étudier l’environnement physique et le cadre dans lequel la communauté évolue, pour comprendre comment des facteurs externes (digues en amont, déboisement en amont, plaines côtières plates ou cours d’eau lents traversant des vallées ou des villes) peuvent faire partie du « paysage du risque » à prendre en compte dans l’EVCA et la planification de la réduction des risques. </w:t>
      </w:r>
    </w:p>
    <w:p w:rsidR="00000000" w:rsidDel="00000000" w:rsidP="00000000" w:rsidRDefault="00000000" w:rsidRPr="00000000" w14:paraId="0000000F">
      <w:pPr>
        <w:pStyle w:val="Heading1"/>
        <w:rPr>
          <w:rFonts w:ascii="Times New Roman" w:cs="Times New Roman" w:eastAsia="Times New Roman" w:hAnsi="Times New Roman"/>
        </w:rPr>
      </w:pPr>
      <w:r w:rsidDel="00000000" w:rsidR="00000000" w:rsidRPr="00000000">
        <w:rPr>
          <w:rtl w:val="0"/>
        </w:rPr>
        <w:t xml:space="preserve">Compétences requises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Les sources secondaires sont le plus souvent des écrits (sur papier ou en ligne). Elles demandent donc de savoir lire des documents complexes et en extraire les informations d’intérêt. L’animateur doit aussi savoir donner des instructions très claires au reste de l’équipe et veiller à ce que celle-ci reste centrée sur les objectifs pour éviter d’être submergée par des informations d’intérêt accessoire.</w:t>
      </w:r>
    </w:p>
    <w:p w:rsidR="00000000" w:rsidDel="00000000" w:rsidP="00000000" w:rsidRDefault="00000000" w:rsidRPr="00000000" w14:paraId="00000011">
      <w:pPr>
        <w:rPr/>
      </w:pPr>
      <w:r w:rsidDel="00000000" w:rsidR="00000000" w:rsidRPr="00000000">
        <w:rPr>
          <w:rtl w:val="0"/>
        </w:rPr>
        <w:t xml:space="preserve">Dans le cas d'un risque épidémique potentiel, veillez à ce que votre équipe d'examen comprenne un spécialiste de la santé capable de trouver, de lire, de comprendre et d'analyser les informations relatives à la santé.</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1"/>
        <w:rPr>
          <w:rFonts w:ascii="Times New Roman" w:cs="Times New Roman" w:eastAsia="Times New Roman" w:hAnsi="Times New Roman"/>
        </w:rPr>
      </w:pPr>
      <w:r w:rsidDel="00000000" w:rsidR="00000000" w:rsidRPr="00000000">
        <w:rPr>
          <w:rtl w:val="0"/>
        </w:rPr>
        <w:t xml:space="preserve">Marche à suivre</w:t>
      </w:r>
      <w:r w:rsidDel="00000000" w:rsidR="00000000" w:rsidRPr="00000000">
        <w:rPr>
          <w:rtl w:val="0"/>
        </w:rPr>
      </w:r>
    </w:p>
    <w:p w:rsidR="00000000" w:rsidDel="00000000" w:rsidP="00000000" w:rsidRDefault="00000000" w:rsidRPr="00000000" w14:paraId="00000014">
      <w:pPr>
        <w:pStyle w:val="Heading2"/>
        <w:rPr/>
      </w:pPr>
      <w:r w:rsidDel="00000000" w:rsidR="00000000" w:rsidRPr="00000000">
        <w:rPr>
          <w:rtl w:val="0"/>
        </w:rPr>
        <w:t xml:space="preserve">Étape 1. Déterminer quelles informations vous voulez obtenir</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t xml:space="preserve">Les informations ont tendance à abonder et il vous en faudra beaucoup pour vous faire une idée satisfaisante de la situation dans une communauté. Pour ne pas vous laisser submerger, tenez le cap sur celles qui sont pertinentes et nécessaires pour l’EVC, mais aussi pour le type de projet qui en découlera. Centrez autant que possible la collecte de données sur les informations en rapport direct avec </w:t>
      </w:r>
      <w:hyperlink r:id="rId13">
        <w:r w:rsidDel="00000000" w:rsidR="00000000" w:rsidRPr="00000000">
          <w:rPr>
            <w:color w:val="0000ff"/>
            <w:u w:val="single"/>
            <w:rtl w:val="0"/>
          </w:rPr>
          <w:t xml:space="preserve">les caractéristiques de la résilience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-537881</wp:posOffset>
            </wp:positionH>
            <wp:positionV relativeFrom="paragraph">
              <wp:posOffset>266065</wp:posOffset>
            </wp:positionV>
            <wp:extent cx="387350" cy="377190"/>
            <wp:effectExtent b="0" l="0" r="0" t="0"/>
            <wp:wrapSquare wrapText="bothSides" distB="0" distT="0" distL="114300" distR="114300"/>
            <wp:docPr id="204"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17">
      <w:pPr>
        <w:rPr/>
      </w:pPr>
      <w:r w:rsidDel="00000000" w:rsidR="00000000" w:rsidRPr="00000000">
        <w:rPr>
          <w:rtl w:val="0"/>
        </w:rPr>
        <w:t xml:space="preserve">Très souvent, les documents primaires sont écrits par des hommes à propos des hommes. Tenez-en compte lorsque vous consultez des sources secondaires et recherchez aussi des sources écrites par des femmes ou à propos des femmes.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Pour intégrer le risque épidémique, vous devez identifier le type d'épidémie auquel la communauté pourrait être confrontée. Vous pouvez alors trouver des informations sur la communauté auprès du ministère de la santé, des rapports écrits ou des documents provenant de cliniques, de centres médicaux ou de tout travailleur de la santé basé dans la communauté concernée.</w:t>
      </w:r>
    </w:p>
    <w:p w:rsidR="00000000" w:rsidDel="00000000" w:rsidP="00000000" w:rsidRDefault="00000000" w:rsidRPr="00000000" w14:paraId="0000001A">
      <w:pPr>
        <w:pStyle w:val="Heading2"/>
        <w:rPr/>
      </w:pPr>
      <w:r w:rsidDel="00000000" w:rsidR="00000000" w:rsidRPr="00000000">
        <w:rPr>
          <w:rtl w:val="0"/>
        </w:rPr>
        <w:t xml:space="preserve">Étape 2. Dresser une liste de sources d’informations potentielles</w:t>
      </w:r>
    </w:p>
    <w:p w:rsidR="00000000" w:rsidDel="00000000" w:rsidP="00000000" w:rsidRDefault="00000000" w:rsidRPr="00000000" w14:paraId="0000001B">
      <w:pPr>
        <w:rPr/>
      </w:pPr>
      <w:r w:rsidDel="00000000" w:rsidR="00000000" w:rsidRPr="00000000">
        <w:rPr>
          <w:rtl w:val="0"/>
        </w:rPr>
      </w:r>
    </w:p>
    <w:tbl>
      <w:tblPr>
        <w:tblStyle w:val="Table1"/>
        <w:tblW w:w="9016.0" w:type="dxa"/>
        <w:jc w:val="left"/>
        <w:tblInd w:w="-108.0" w:type="dxa"/>
        <w:tblBorders>
          <w:top w:color="00a0dc" w:space="0" w:sz="18" w:val="single"/>
          <w:left w:color="00a0dc" w:space="0" w:sz="18" w:val="single"/>
          <w:bottom w:color="00a0dc" w:space="0" w:sz="18" w:val="single"/>
          <w:right w:color="00a0dc" w:space="0" w:sz="18" w:val="single"/>
          <w:insideH w:color="00a0dc" w:space="0" w:sz="18" w:val="single"/>
          <w:insideV w:color="00a0dc" w:space="0" w:sz="18" w:val="single"/>
        </w:tblBorders>
        <w:tblLayout w:type="fixed"/>
        <w:tblLook w:val="04A0"/>
      </w:tblPr>
      <w:tblGrid>
        <w:gridCol w:w="5665"/>
        <w:gridCol w:w="3351"/>
        <w:tblGridChange w:id="0">
          <w:tblGrid>
            <w:gridCol w:w="5665"/>
            <w:gridCol w:w="3351"/>
          </w:tblGrid>
        </w:tblGridChange>
      </w:tblGrid>
      <w:tr>
        <w:trPr>
          <w:cantSplit w:val="0"/>
          <w:tblHeader w:val="0"/>
        </w:trPr>
        <w:tc>
          <w:tcPr>
            <w:gridSpan w:val="2"/>
            <w:shd w:fill="00a0dc" w:val="clear"/>
          </w:tcPr>
          <w:p w:rsidR="00000000" w:rsidDel="00000000" w:rsidP="00000000" w:rsidRDefault="00000000" w:rsidRPr="00000000" w14:paraId="0000001C">
            <w:pPr>
              <w:rPr>
                <w:rFonts w:ascii="Times New Roman" w:cs="Times New Roman" w:eastAsia="Times New Roman" w:hAnsi="Times New Roman"/>
                <w:b w:val="0"/>
                <w:color w:val="ffffff"/>
                <w:sz w:val="28"/>
                <w:szCs w:val="28"/>
              </w:rPr>
            </w:pPr>
            <w:r w:rsidDel="00000000" w:rsidR="00000000" w:rsidRPr="00000000">
              <w:rPr>
                <w:color w:val="ffffff"/>
                <w:sz w:val="28"/>
                <w:szCs w:val="28"/>
                <w:rtl w:val="0"/>
              </w:rPr>
              <w:t xml:space="preserve">Sources d’informations potentielles</w:t>
            </w:r>
            <w:r w:rsidDel="00000000" w:rsidR="00000000" w:rsidRPr="00000000">
              <w:rPr>
                <w:rtl w:val="0"/>
              </w:rPr>
            </w:r>
          </w:p>
        </w:tc>
      </w:tr>
      <w:tr>
        <w:trPr>
          <w:cantSplit w:val="0"/>
          <w:tblHeader w:val="0"/>
        </w:trPr>
        <w:tc>
          <w:tcPr/>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Internet</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Organisations des Nations Unies (HCR, UNICEF, PAM, OMS)</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Banque mondiale</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Sites administratifs</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Fondations</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Établissements d’enseignement et universités</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Rapports de synthèse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Données et statistiques</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aux bibliothèques en ligne</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Cartes (aériennes, SIG, topographiques, imagerie satellitaire)</w:t>
            </w:r>
          </w:p>
          <w:p w:rsidR="00000000" w:rsidDel="00000000" w:rsidP="00000000" w:rsidRDefault="00000000" w:rsidRPr="00000000" w14:paraId="00000028">
            <w:pPr>
              <w:ind w:left="360" w:firstLine="0"/>
              <w:jc w:val="left"/>
              <w:rPr/>
            </w:pPr>
            <w:r w:rsidDel="00000000" w:rsidR="00000000" w:rsidRPr="00000000">
              <w:rPr>
                <w:rtl w:val="0"/>
              </w:rPr>
              <w:t xml:space="preserve">Liens vers des sites apparentés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15">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Profils de pays de l’UNISDR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anglais)</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16">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ThinkHazard! du GFDRR</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17">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Inform Index</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anglais)</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8">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Données de la Banque mondiale sur les pays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9">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Profils d’adaptation au changement climatique de la Banque mondiale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anglais)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20">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IFRC-IRI MapRoom</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anglais et espagnol)</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ff"/>
                <w:sz w:val="24"/>
                <w:szCs w:val="24"/>
                <w:u w:val="single"/>
                <w:shd w:fill="auto" w:val="clear"/>
                <w:vertAlign w:val="baseline"/>
              </w:rPr>
            </w:pPr>
            <w:r w:rsidDel="00000000" w:rsidR="00000000" w:rsidRPr="00000000">
              <w:fldChar w:fldCharType="begin"/>
              <w:instrText xml:space="preserve"> HYPERLINK "https://earth.google.com/web/" </w:instrText>
              <w:fldChar w:fldCharType="separate"/>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Google Earth,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end"/>
            </w:r>
            <w:hyperlink r:id="rId21">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Open Street Maps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(pour voir le cadre de la communauté en 3D)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ff"/>
                <w:sz w:val="24"/>
                <w:szCs w:val="24"/>
                <w:u w:val="single"/>
                <w:shd w:fill="auto" w:val="clear"/>
                <w:vertAlign w:val="baseline"/>
              </w:rPr>
            </w:pPr>
            <w:hyperlink r:id="rId22">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IFRC GO</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anglais)</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ff"/>
                <w:sz w:val="24"/>
                <w:szCs w:val="24"/>
                <w:u w:val="single"/>
                <w:shd w:fill="auto" w:val="clear"/>
                <w:vertAlign w:val="baseline"/>
              </w:rPr>
            </w:pPr>
            <w:hyperlink r:id="rId23">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FEWSNET</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ff"/>
                <w:sz w:val="24"/>
                <w:szCs w:val="24"/>
                <w:u w:val="single"/>
                <w:shd w:fill="auto" w:val="clear"/>
                <w:vertAlign w:val="baseline"/>
              </w:rPr>
            </w:pPr>
            <w:hyperlink r:id="rId24">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Cartes WFP – GEONODE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anglais)</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Calibri" w:cs="Calibri" w:eastAsia="Calibri" w:hAnsi="Calibri"/>
                <w:b w:val="0"/>
                <w:i w:val="0"/>
                <w:smallCaps w:val="0"/>
                <w:strike w:val="0"/>
                <w:color w:val="0000ff"/>
                <w:sz w:val="24"/>
                <w:szCs w:val="24"/>
                <w:u w:val="single"/>
                <w:shd w:fill="auto" w:val="clear"/>
                <w:vertAlign w:val="baseline"/>
              </w:rPr>
            </w:pPr>
            <w:hyperlink r:id="rId25">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SMIAR - Système mondial d’information et d’alerte rapide</w:t>
              </w:r>
            </w:hyperlink>
            <w:r w:rsidDel="00000000" w:rsidR="00000000" w:rsidRPr="00000000">
              <w:rPr>
                <w:rtl w:val="0"/>
              </w:rPr>
            </w:r>
          </w:p>
          <w:p w:rsidR="00000000" w:rsidDel="00000000" w:rsidP="00000000" w:rsidRDefault="00000000" w:rsidRPr="00000000" w14:paraId="00000035">
            <w:pPr>
              <w:numPr>
                <w:ilvl w:val="0"/>
                <w:numId w:val="1"/>
              </w:numPr>
              <w:spacing w:line="276" w:lineRule="auto"/>
              <w:ind w:left="644" w:hanging="360"/>
              <w:jc w:val="left"/>
              <w:rPr>
                <w:b w:val="0"/>
                <w:color w:val="0000ff"/>
              </w:rPr>
            </w:pPr>
            <w:hyperlink r:id="rId26">
              <w:r w:rsidDel="00000000" w:rsidR="00000000" w:rsidRPr="00000000">
                <w:rPr>
                  <w:b w:val="0"/>
                  <w:color w:val="1155cc"/>
                  <w:u w:val="single"/>
                  <w:rtl w:val="0"/>
                </w:rPr>
                <w:t xml:space="preserve">WHO Global Health observatory</w:t>
              </w:r>
            </w:hyperlink>
            <w:r w:rsidDel="00000000" w:rsidR="00000000" w:rsidRPr="00000000">
              <w:rPr>
                <w:rtl w:val="0"/>
              </w:rPr>
            </w:r>
          </w:p>
          <w:p w:rsidR="00000000" w:rsidDel="00000000" w:rsidP="00000000" w:rsidRDefault="00000000" w:rsidRPr="00000000" w14:paraId="00000036">
            <w:pPr>
              <w:numPr>
                <w:ilvl w:val="0"/>
                <w:numId w:val="1"/>
              </w:numPr>
              <w:spacing w:line="276" w:lineRule="auto"/>
              <w:ind w:left="644" w:hanging="360"/>
              <w:jc w:val="left"/>
              <w:rPr>
                <w:b w:val="0"/>
                <w:color w:val="0000ff"/>
              </w:rPr>
            </w:pPr>
            <w:hyperlink r:id="rId27">
              <w:r w:rsidDel="00000000" w:rsidR="00000000" w:rsidRPr="00000000">
                <w:rPr>
                  <w:b w:val="0"/>
                  <w:color w:val="1155cc"/>
                  <w:u w:val="single"/>
                  <w:rtl w:val="0"/>
                </w:rPr>
                <w:t xml:space="preserve">UNICEF Fact Sheet</w:t>
              </w:r>
            </w:hyperlink>
            <w:r w:rsidDel="00000000" w:rsidR="00000000" w:rsidRPr="00000000">
              <w:rPr>
                <w:rtl w:val="0"/>
              </w:rPr>
            </w:r>
          </w:p>
        </w:tc>
        <w:tc>
          <w:tcPr/>
          <w:p w:rsidR="00000000" w:rsidDel="00000000" w:rsidP="00000000" w:rsidRDefault="00000000" w:rsidRPr="00000000" w14:paraId="0000003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Personnes</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Fonctionnaires</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Autorités locales (police, personnel de santé, sage-femme, pompiers, travailleurs,  sociaux, etc.)</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Collègues de la Société nationale</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Agents d’ONG(I) </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Avis d’experts</w:t>
            </w:r>
            <w:r w:rsidDel="00000000" w:rsidR="00000000" w:rsidRPr="00000000">
              <w:rPr>
                <w:rtl w:val="0"/>
              </w:rPr>
            </w:r>
          </w:p>
        </w:tc>
      </w:tr>
      <w:tr>
        <w:trPr>
          <w:cantSplit w:val="0"/>
          <w:tblHeader w:val="0"/>
        </w:trPr>
        <w:tc>
          <w:tcPr/>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t xml:space="preserve">3. Autres organisations actives dans le secteur</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Sociétés nationales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FICR et ses centres de référence</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DREF et appels de la FICR</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Organisations non gouvernementales internationales (ex. Oxfam, World Vision, CARE, MSF)</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Réseaux et alliances</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Administrations locales et régionales, ministères</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Organismes publics spécialisés (ex. service national de gestion des catastrophes, services de la météorologie)</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Entreprises du secteur privé ou locales</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évaluations des risques et des besoins</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64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Rapports (rapports d’activité, rapports de projet, rapports annuels)</w:t>
            </w:r>
            <w:r w:rsidDel="00000000" w:rsidR="00000000" w:rsidRPr="00000000">
              <w:rPr>
                <w:rtl w:val="0"/>
              </w:rPr>
            </w:r>
          </w:p>
        </w:tc>
        <w:tc>
          <w:tcPr/>
          <w:p w:rsidR="00000000" w:rsidDel="00000000" w:rsidP="00000000" w:rsidRDefault="00000000" w:rsidRPr="00000000" w14:paraId="00000048">
            <w:pPr>
              <w:rPr>
                <w:rFonts w:ascii="Times New Roman" w:cs="Times New Roman" w:eastAsia="Times New Roman" w:hAnsi="Times New Roman"/>
                <w:b w:val="1"/>
              </w:rPr>
            </w:pPr>
            <w:r w:rsidDel="00000000" w:rsidR="00000000" w:rsidRPr="00000000">
              <w:rPr>
                <w:b w:val="1"/>
                <w:rtl w:val="0"/>
              </w:rPr>
              <w:t xml:space="preserve">4. Bibliothèques</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Bibliothèque locale</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Bibliothèque universitaire</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Bibliothèques publiques locales, régionales et nationales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Organismes apparentés</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Revues et journaux</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Livres</w:t>
            </w:r>
            <w:r w:rsidDel="00000000" w:rsidR="00000000" w:rsidRPr="00000000">
              <w:rPr>
                <w:rtl w:val="0"/>
              </w:rPr>
            </w:r>
          </w:p>
        </w:tc>
      </w:tr>
    </w:tbl>
    <w:p w:rsidR="00000000" w:rsidDel="00000000" w:rsidP="00000000" w:rsidRDefault="00000000" w:rsidRPr="00000000" w14:paraId="0000004F">
      <w:pPr>
        <w:pStyle w:val="Heading2"/>
        <w:rPr/>
      </w:pPr>
      <w:r w:rsidDel="00000000" w:rsidR="00000000" w:rsidRPr="00000000">
        <w:rPr>
          <w:rtl w:val="0"/>
        </w:rPr>
        <w:t xml:space="preserve">Intégrer les informations sur le changement climatique</w:t>
      </w:r>
      <w:r w:rsidDel="00000000" w:rsidR="00000000" w:rsidRPr="00000000">
        <w:rPr>
          <w:vertAlign w:val="superscript"/>
        </w:rPr>
        <w:footnoteReference w:customMarkFollows="0" w:id="0"/>
      </w:r>
      <w:r w:rsidDel="00000000" w:rsidR="00000000" w:rsidRPr="00000000">
        <w:rPr>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-516254</wp:posOffset>
            </wp:positionH>
            <wp:positionV relativeFrom="paragraph">
              <wp:posOffset>176567</wp:posOffset>
            </wp:positionV>
            <wp:extent cx="386563" cy="386563"/>
            <wp:effectExtent b="0" l="0" r="0" t="0"/>
            <wp:wrapNone/>
            <wp:docPr descr="D:\Users\Lucia.Roblesdios\Desktop\PROPOSAL-02\PROPOSAL-02\CC-icon-02-01.png" id="200" name="image3.png"/>
            <a:graphic>
              <a:graphicData uri="http://schemas.openxmlformats.org/drawingml/2006/picture">
                <pic:pic>
                  <pic:nvPicPr>
                    <pic:cNvPr descr="D:\Users\Lucia.Roblesdios\Desktop\PROPOSAL-02\PROPOSAL-02\CC-icon-02-01.png" id="0" name="image3.png"/>
                    <pic:cNvPicPr preferRelativeResize="0"/>
                  </pic:nvPicPr>
                  <pic:blipFill>
                    <a:blip r:embed="rId28"/>
                    <a:srcRect b="0" l="0" r="0" t="0"/>
                    <a:stretch>
                      <a:fillRect/>
                    </a:stretch>
                  </pic:blipFill>
                  <pic:spPr>
                    <a:xfrm>
                      <a:off x="0" y="0"/>
                      <a:ext cx="386563" cy="386563"/>
                    </a:xfrm>
                    <a:prstGeom prst="rect"/>
                    <a:ln/>
                  </pic:spPr>
                </pic:pic>
              </a:graphicData>
            </a:graphic>
          </wp:anchor>
        </w:drawing>
      </w:r>
    </w:p>
    <w:p w:rsidR="00000000" w:rsidDel="00000000" w:rsidP="00000000" w:rsidRDefault="00000000" w:rsidRPr="00000000" w14:paraId="00000050">
      <w:pPr>
        <w:rPr/>
      </w:pPr>
      <w:r w:rsidDel="00000000" w:rsidR="00000000" w:rsidRPr="00000000">
        <w:rPr>
          <w:rtl w:val="0"/>
        </w:rPr>
        <w:t xml:space="preserve">Vous devrez tout d’abord établir ce que l’on sait déjà sur le changement climatique et les évolutions possibles :</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Vérifiez si votre Société nationale a travaillé sur un document d’information au sujet du changement climatique dans le cadre du programme « Préparation au changement climatique » (plus de 60 pays y avaient participé à la fin de 2011). Il pourrait contenir des informations utiles.</w:t>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Renseignez-vous pour savoir si votre Société nationale est en relation avec le service national de météorologie ou le ministère de l’Environnement. Si cela n’est pas le cas, vous pourriez essayer de mettre une collaboration en place.</w:t>
      </w:r>
    </w:p>
    <w:p w:rsidR="00000000" w:rsidDel="00000000" w:rsidP="00000000" w:rsidRDefault="00000000" w:rsidRPr="00000000" w14:paraId="0000005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Ces services pourront vous donner une vue d’ensemble des changements (ex. régime pluviométrique d’une ville) qui sont déjà en cours et des prévisions climatiques pour les décennies à venir (ex. aggravation de la sécheresse dans tel ou tel pays). Il pourrait s’agir de « Communications nationales ». Des informations sur les tendances historiques sont peut-être disponibles pour des lieux précis. Il faut néanmoins savoir que les prévisions à l’échelle locale manquent de précision (les modèles à échelle réduite ne concordent pas les uns avec les autres) et ne peuvent donc pas être utilisées pour guider le choix de site ou établir des mesures d’adaptation pour un site particulier à inclure dans les plans de réduction des risques communautaires à l’issue du processus d’EVC.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Les informations recueillies à ce stade peuvent donner de bonnes indications sur les questions à poser aux communautés. Si, par exemple, des changements sont évidents dans le régime pluviométrique, une discussion avec les communautés sur les effets possibles de ces changements sur leur vie actuelle et future pourrait être utile dans l’élaboration de stratégies à long terme pour y faire face. En vous informant sur ce qui est en train de changer et ce qui risque fort d’empirer, vous aurez peut-être plus de facilité à choisir sur quelles régions du pays vous concentrer. Vous pourriez même inviter un spécialiste du changement climatique à faire un exposé général pour un groupe d’animateurs d’EVC.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bookmarkStart w:colFirst="0" w:colLast="0" w:name="_heading=h.gjdgxs" w:id="0"/>
      <w:bookmarkEnd w:id="0"/>
      <w:r w:rsidDel="00000000" w:rsidR="00000000" w:rsidRPr="00000000">
        <w:rPr>
          <w:rtl w:val="0"/>
        </w:rPr>
        <w:t xml:space="preserve">Vous trouverez un exposé général Croix-Rouge/Croissant-Rouge sur le changement climatique à l’adresse suivante : </w:t>
      </w:r>
      <w:sdt>
        <w:sdtPr>
          <w:tag w:val="goog_rdk_0"/>
        </w:sdtPr>
        <w:sdtContent>
          <w:commentRangeStart w:id="0"/>
        </w:sdtContent>
      </w:sdt>
      <w:hyperlink r:id="rId29">
        <w:r w:rsidDel="00000000" w:rsidR="00000000" w:rsidRPr="00000000">
          <w:rPr>
            <w:color w:val="0000ff"/>
            <w:u w:val="single"/>
            <w:rtl w:val="0"/>
          </w:rPr>
          <w:t xml:space="preserve">http://www.climatecentre.org/site/presentations</w:t>
        </w:r>
      </w:hyperlink>
      <w:r w:rsidDel="00000000" w:rsidR="00000000" w:rsidRPr="00000000">
        <w:rPr>
          <w:rtl w:val="0"/>
        </w:rPr>
        <w:t xml:space="preserve">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Remarque </w:t>
      </w:r>
      <w:r w:rsidDel="00000000" w:rsidR="00000000" w:rsidRPr="00000000">
        <w:rPr>
          <w:rtl w:val="0"/>
        </w:rPr>
        <w:t xml:space="preserve">: si vous avez besoin que le changement climatique soit expliqué en relation avec vos travaux et dans un langage moins scientifique ou technique, ou si vous avez du mal à comprendre les informations qui vous sont données, vous pouvez vous adresser au centre d’assistance de la FICR à l’adresse suivante : ifrc@iri.columbia.edu.</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5A">
      <w:pPr>
        <w:pStyle w:val="Heading2"/>
        <w:rPr/>
      </w:pPr>
      <w:r w:rsidDel="00000000" w:rsidR="00000000" w:rsidRPr="00000000">
        <w:br w:type="page"/>
      </w:r>
      <w:r w:rsidDel="00000000" w:rsidR="00000000" w:rsidRPr="00000000">
        <w:rPr>
          <w:rtl w:val="0"/>
        </w:rPr>
      </w:r>
    </w:p>
    <w:p w:rsidR="00000000" w:rsidDel="00000000" w:rsidP="00000000" w:rsidRDefault="00000000" w:rsidRPr="00000000" w14:paraId="0000005B">
      <w:pPr>
        <w:pStyle w:val="Heading2"/>
        <w:rPr>
          <w:rFonts w:ascii="Times New Roman" w:cs="Times New Roman" w:eastAsia="Times New Roman" w:hAnsi="Times New Roman"/>
        </w:rPr>
      </w:pPr>
      <w:r w:rsidDel="00000000" w:rsidR="00000000" w:rsidRPr="00000000">
        <w:rPr>
          <w:rtl w:val="0"/>
        </w:rPr>
        <w:t xml:space="preserve">Étape 3. Recueillir les informations</w:t>
      </w: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tl w:val="0"/>
        </w:rPr>
        <w:t xml:space="preserve">Exemples du type d’informations qui pourraient vous être utiles :</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Emplacement et caractéristiques géographiques de la communauté, y compris le cadre naturel et l’occupation des sols de la communauté et des environs.</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Principales activités économiques et structure des revenus (catégories de moyens de subsistance)</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Taux d’alphabétisme, s’il y a lieu. Compétences linguistiques (pour les réfugiés)</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à la communauté (infrastructure routière et modes de transport).</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Démographie (population totale, naissances, décès, répartition, âge, professions, migration, minorités).</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Genre et diversité dans la communauté : hommes, femmes, âges (y compris les enfants et les personnes âgées), groupes ethniques ou religieux, personnes LGBTI, nationalités, migrants. </w:t>
      </w:r>
      <w:r w:rsidDel="00000000" w:rsidR="00000000" w:rsidRPr="00000000">
        <w:drawing>
          <wp:anchor allowOverlap="1" behindDoc="0" distB="0" distT="0" distL="114300" distR="114300" hidden="0" layoutInCell="1" locked="0" relativeHeight="0" simplePos="0">
            <wp:simplePos x="0" y="0"/>
            <wp:positionH relativeFrom="column">
              <wp:posOffset>-439419</wp:posOffset>
            </wp:positionH>
            <wp:positionV relativeFrom="paragraph">
              <wp:posOffset>58420</wp:posOffset>
            </wp:positionV>
            <wp:extent cx="387350" cy="377190"/>
            <wp:effectExtent b="0" l="0" r="0" t="0"/>
            <wp:wrapSquare wrapText="bothSides" distB="0" distT="0" distL="114300" distR="114300"/>
            <wp:docPr id="203"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de personnes en situation de handicap (hommes, femmes, enfants et personnes âgées), nombre de personnes pour chaque handicap (adultes et enfants), nombre de personnes en situation de handicap scolarisées, nombre total de personnes en situation de handicap vivant seules, nombre de ménages comptant plus d’une personne en situation de handicap.</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Ressources (services destinés aux membres de la communauté, y compris dispositifs de soins)</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Normes sociales et leurs conséquences sur les relations hommes-femmes : codes familiaux, pratiques culturelles (mutilation génitale féminine, mariage précoce, discrimination/stigmatisation des castes inférieures), minorités ethniques.</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6"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Rôles et responsabilités des femmes, des filles, des garçons et des hommes d’âges et de groupes différents, à la maison et dans les communautés.</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Organisations communautaires formelles et informelles.</w:t>
      </w:r>
    </w:p>
    <w:p w:rsidR="00000000" w:rsidDel="00000000" w:rsidP="00000000" w:rsidRDefault="00000000" w:rsidRPr="00000000" w14:paraId="00000068">
      <w:pPr>
        <w:numPr>
          <w:ilvl w:val="0"/>
          <w:numId w:val="3"/>
        </w:numPr>
        <w:ind w:left="720" w:hanging="360"/>
        <w:rPr/>
      </w:pPr>
      <w:r w:rsidDel="00000000" w:rsidR="00000000" w:rsidRPr="00000000">
        <w:rPr>
          <w:rtl w:val="0"/>
        </w:rPr>
        <w:t xml:space="preserve">Historique des risques dans la communauté, y compris les risques d'épidémies comme Ebola ou les épidémies de paludisme ou les risques de catastrophes comme les tremblements de terre.</w:t>
      </w:r>
    </w:p>
    <w:p w:rsidR="00000000" w:rsidDel="00000000" w:rsidP="00000000" w:rsidRDefault="00000000" w:rsidRPr="00000000" w14:paraId="00000069">
      <w:pPr>
        <w:numPr>
          <w:ilvl w:val="0"/>
          <w:numId w:val="3"/>
        </w:numPr>
        <w:ind w:left="720" w:hanging="360"/>
        <w:rPr/>
      </w:pPr>
      <w:r w:rsidDel="00000000" w:rsidR="00000000" w:rsidRPr="00000000">
        <w:rPr>
          <w:rtl w:val="0"/>
        </w:rPr>
        <w:t xml:space="preserve">Problèmes de santé (malnutrition, mortalité infantile, taux de vaccination, etc.) Source : publication du gouvernement/de l'ONU.</w:t>
      </w:r>
    </w:p>
    <w:p w:rsidR="00000000" w:rsidDel="00000000" w:rsidP="00000000" w:rsidRDefault="00000000" w:rsidRPr="00000000" w14:paraId="0000006A">
      <w:pPr>
        <w:numPr>
          <w:ilvl w:val="0"/>
          <w:numId w:val="3"/>
        </w:numPr>
        <w:ind w:left="720" w:hanging="360"/>
        <w:rPr/>
      </w:pPr>
      <w:r w:rsidDel="00000000" w:rsidR="00000000" w:rsidRPr="00000000">
        <w:rPr>
          <w:rtl w:val="0"/>
        </w:rPr>
        <w:t xml:space="preserve">Services de santé (nombre d'établissements de santé, services par niveau d'établissement de santé, nombre de personnes desservies par chaque établissement de santé, etc.) Source : publication du gouvernement.</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Zones vulnérables : zones exposées aux risques, zones densément peuplées où vivent de nombreuses personnes vulnérables (ex. zone à faible revenu).</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Évolution des sources de risque (changement climatique, modification du ruissellement d’un cours d’eau causée par le déboisement, etc.) et de la vulnérabilité (migration, évolution économique, apparition de taudis dans les zones à risque, etc.)</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-361949</wp:posOffset>
            </wp:positionH>
            <wp:positionV relativeFrom="paragraph">
              <wp:posOffset>-2539</wp:posOffset>
            </wp:positionV>
            <wp:extent cx="386563" cy="386563"/>
            <wp:effectExtent b="0" l="0" r="0" t="0"/>
            <wp:wrapNone/>
            <wp:docPr descr="D:\Users\Lucia.Roblesdios\Desktop\PROPOSAL-02\PROPOSAL-02\CC-icon-02-01.png" id="202" name="image3.png"/>
            <a:graphic>
              <a:graphicData uri="http://schemas.openxmlformats.org/drawingml/2006/picture">
                <pic:pic>
                  <pic:nvPicPr>
                    <pic:cNvPr descr="D:\Users\Lucia.Roblesdios\Desktop\PROPOSAL-02\PROPOSAL-02\CC-icon-02-01.png" id="0" name="image3.png"/>
                    <pic:cNvPicPr preferRelativeResize="0"/>
                  </pic:nvPicPr>
                  <pic:blipFill>
                    <a:blip r:embed="rId28"/>
                    <a:srcRect b="0" l="0" r="0" t="0"/>
                    <a:stretch>
                      <a:fillRect/>
                    </a:stretch>
                  </pic:blipFill>
                  <pic:spPr>
                    <a:xfrm>
                      <a:off x="0" y="0"/>
                      <a:ext cx="386563" cy="386563"/>
                    </a:xfrm>
                    <a:prstGeom prst="rect"/>
                    <a:ln/>
                  </pic:spPr>
                </pic:pic>
              </a:graphicData>
            </a:graphic>
          </wp:anchor>
        </w:drawing>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Tendances/extrêmes météorologiques enregistrés à la station météorologique la plus proche.</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Prévisions de changement climatique au niveau national.</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Position des abris d’urgence et des aléas environnementaux.</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Partis politiques ou mouvements sociaux actifs depuis plusieurs années.</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color w:val="000000"/>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Problèmes sécuritaires dans la région.</w:t>
      </w:r>
      <w:r w:rsidDel="00000000" w:rsidR="00000000" w:rsidRPr="00000000">
        <w:rPr>
          <w:rtl w:val="0"/>
        </w:rPr>
      </w:r>
    </w:p>
    <w:p w:rsidR="00000000" w:rsidDel="00000000" w:rsidP="00000000" w:rsidRDefault="00000000" w:rsidRPr="00000000" w14:paraId="00000072">
      <w:pPr>
        <w:pStyle w:val="Heading2"/>
        <w:rPr>
          <w:rFonts w:ascii="Calibri" w:cs="Calibri" w:eastAsia="Calibri" w:hAnsi="Calibri"/>
          <w:b w:val="0"/>
        </w:rPr>
      </w:pPr>
      <w:r w:rsidDel="00000000" w:rsidR="00000000" w:rsidRPr="00000000">
        <w:rPr>
          <w:rFonts w:ascii="Calibri" w:cs="Calibri" w:eastAsia="Calibri" w:hAnsi="Calibri"/>
          <w:b w:val="0"/>
          <w:rtl w:val="0"/>
        </w:rPr>
        <w:t xml:space="preserve">Une liste plus détaillée des informations à recueillir est donnée dans la </w:t>
      </w:r>
      <w:hyperlink r:id="rId30">
        <w:r w:rsidDel="00000000" w:rsidR="00000000" w:rsidRPr="00000000">
          <w:rPr>
            <w:rFonts w:ascii="Calibri" w:cs="Calibri" w:eastAsia="Calibri" w:hAnsi="Calibri"/>
            <w:b w:val="0"/>
            <w:color w:val="0000ff"/>
            <w:u w:val="single"/>
            <w:rtl w:val="0"/>
          </w:rPr>
          <w:t xml:space="preserve">Fiche de référence sur la communauté</w:t>
        </w:r>
      </w:hyperlink>
      <w:r w:rsidDel="00000000" w:rsidR="00000000" w:rsidRPr="00000000">
        <w:rPr>
          <w:rFonts w:ascii="Calibri" w:cs="Calibri" w:eastAsia="Calibri" w:hAnsi="Calibri"/>
          <w:b w:val="0"/>
          <w:rtl w:val="0"/>
        </w:rPr>
        <w:t xml:space="preserve">.</w:t>
      </w:r>
    </w:p>
    <w:p w:rsidR="00000000" w:rsidDel="00000000" w:rsidP="00000000" w:rsidRDefault="00000000" w:rsidRPr="00000000" w14:paraId="00000073">
      <w:pPr>
        <w:pStyle w:val="Heading2"/>
        <w:rPr>
          <w:rFonts w:ascii="Times New Roman" w:cs="Times New Roman" w:eastAsia="Times New Roman" w:hAnsi="Times New Roman"/>
        </w:rPr>
      </w:pPr>
      <w:r w:rsidDel="00000000" w:rsidR="00000000" w:rsidRPr="00000000">
        <w:rPr>
          <w:rtl w:val="0"/>
        </w:rPr>
        <w:t xml:space="preserve">Étape 4. Analyser les informations</w:t>
      </w: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rPr>
      </w:pPr>
      <w:r w:rsidDel="00000000" w:rsidR="00000000" w:rsidRPr="00000000">
        <w:rPr>
          <w:rtl w:val="0"/>
        </w:rPr>
        <w:t xml:space="preserve">Les informations recueillies vous donneront une première impression et une vue d’ensemble de la communauté, des problèmes auxquels elle est confrontée et des capacités dont elle dispose pour y faire face. </w:t>
      </w: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rPr>
      </w:pPr>
      <w:r w:rsidDel="00000000" w:rsidR="00000000" w:rsidRPr="00000000">
        <w:rPr>
          <w:rtl w:val="0"/>
        </w:rPr>
        <w:t xml:space="preserve">Repérez les lacunes une fois que vous aurez étudié les sources secondaires ; elles constitueront le point de départ de vos recherches ultérieures au moyen d’autres outils. </w:t>
      </w: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tl w:val="0"/>
        </w:rPr>
        <w:t xml:space="preserve">Une fois l’EVC terminée, les informations tirées de sources secondaires pourront aussi servir à interpréter celles que vous obtiendrez avec les autres outils.</w:t>
      </w:r>
      <w:r w:rsidDel="00000000" w:rsidR="00000000" w:rsidRPr="00000000">
        <w:rPr>
          <w:rtl w:val="0"/>
        </w:rPr>
      </w:r>
    </w:p>
    <w:p w:rsidR="00000000" w:rsidDel="00000000" w:rsidP="00000000" w:rsidRDefault="00000000" w:rsidRPr="00000000" w14:paraId="00000077">
      <w:pPr>
        <w:pStyle w:val="Heading1"/>
        <w:rPr/>
      </w:pPr>
      <w:r w:rsidDel="00000000" w:rsidR="00000000" w:rsidRPr="00000000">
        <w:rPr>
          <w:rtl w:val="0"/>
        </w:rPr>
        <w:t xml:space="preserve">Difficultés et écueils</w:t>
      </w:r>
    </w:p>
    <w:p w:rsidR="00000000" w:rsidDel="00000000" w:rsidP="00000000" w:rsidRDefault="00000000" w:rsidRPr="00000000" w14:paraId="00000078">
      <w:pPr>
        <w:spacing w:before="240" w:lineRule="auto"/>
        <w:rPr/>
      </w:pPr>
      <w:r w:rsidDel="00000000" w:rsidR="00000000" w:rsidRPr="00000000">
        <w:rPr>
          <w:rtl w:val="0"/>
        </w:rPr>
        <w:t xml:space="preserve">Il se peut que vous trouviez une masse d’informations sur un sujet ou que vous n’en trouviez pas du tout. Dans le premier cas, définissez clairement vos objectifs pour circonscrire vos recherches et n’utiliser que les sources les plus utiles. Concentrez-vous sur les sources pertinentes au lieu d’amasser autant d’informations et de sources connues que possible. En l’absence d’informations particulières sur la communauté, renseignez-vous sur la région. Sachant que les informations sont vite périmées ou peuvent être influencées par les opinions politiques, pensez toujours à vous renseigner sur la date de rédaction et le but de la publication. </w:t>
      </w:r>
    </w:p>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mc:AlternateContent>
          <mc:Choice Requires="wpg">
            <w:drawing>
              <wp:inline distB="0" distT="0" distL="114300" distR="114300">
                <wp:extent cx="5708015" cy="3731895"/>
                <wp:effectExtent b="0" l="0" r="0" t="0"/>
                <wp:docPr id="198" name=""/>
                <a:graphic>
                  <a:graphicData uri="http://schemas.microsoft.com/office/word/2010/wordprocessingShape">
                    <wps:wsp>
                      <wps:cNvSpPr/>
                      <wps:cNvPr id="4" name="Shape 4"/>
                      <wps:spPr>
                        <a:xfrm>
                          <a:off x="2506280" y="1928340"/>
                          <a:ext cx="5679440" cy="3703320"/>
                        </a:xfrm>
                        <a:custGeom>
                          <a:rect b="b" l="l" r="r" t="t"/>
                          <a:pathLst>
                            <a:path extrusionOk="0" h="3703320" w="5679440">
                              <a:moveTo>
                                <a:pt x="0" y="0"/>
                              </a:moveTo>
                              <a:lnTo>
                                <a:pt x="0" y="3703320"/>
                              </a:lnTo>
                              <a:lnTo>
                                <a:pt x="5679440" y="3703320"/>
                              </a:lnTo>
                              <a:lnTo>
                                <a:pt x="5679440" y="0"/>
                              </a:lnTo>
                              <a:close/>
                            </a:path>
                          </a:pathLst>
                        </a:custGeom>
                        <a:solidFill>
                          <a:srgbClr val="FFFFFF"/>
                        </a:solidFill>
                        <a:ln cap="flat" cmpd="sng" w="2857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ecilia LT Std Light" w:cs="Caecilia LT Std Light" w:eastAsia="Caecilia LT Std Light" w:hAnsi="Caecilia LT Std Light"/>
                                <w:b w:val="1"/>
                                <w:i w:val="0"/>
                                <w:smallCaps w:val="0"/>
                                <w:strike w:val="0"/>
                                <w:color w:val="000000"/>
                                <w:sz w:val="24"/>
                                <w:vertAlign w:val="baseline"/>
                              </w:rPr>
                              <w:t xml:space="preserve">CONSEIL !</w:t>
                            </w:r>
                          </w:p>
                          <w:p w:rsidR="00000000" w:rsidDel="00000000" w:rsidP="00000000" w:rsidRDefault="00000000" w:rsidRPr="00000000">
                            <w:pPr>
                              <w:spacing w:after="0" w:before="0" w:line="275.9999942779541"/>
                              <w:ind w:left="360" w:right="0" w:firstLine="0"/>
                              <w:jc w:val="both"/>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Si les données examinées ont été recueillies par un organisme officiel, comme l’office national de statistique, vous pouvez raisonnablement supposer qu’elles sont fiables. Il est toutefois prudent de consulter également d’autres sources, ce qui vous permettra de confronter les données disponibles. Si cela n’est pas possible, essayez de savoir quelles méthodes de collecte de données ont été employées (les outils, les personnes interrogées, la date, etc.).</w:t>
                            </w:r>
                          </w:p>
                          <w:p w:rsidR="00000000" w:rsidDel="00000000" w:rsidP="00000000" w:rsidRDefault="00000000" w:rsidRPr="00000000">
                            <w:pPr>
                              <w:spacing w:after="0" w:before="0" w:line="275.9999942779541"/>
                              <w:ind w:left="360" w:right="0" w:firstLine="0"/>
                              <w:jc w:val="both"/>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Lorsque vous obtenez des informations auprès d’organismes spécialisés (sur la population, la santé et les conditions météorologiques/climatiques), demandez des informations analysées et synthétisées plutôt que des données brutes, qui risquent de vous submerger.</w:t>
                            </w:r>
                          </w:p>
                          <w:p w:rsidR="00000000" w:rsidDel="00000000" w:rsidP="00000000" w:rsidRDefault="00000000" w:rsidRPr="00000000">
                            <w:pPr>
                              <w:spacing w:after="0" w:before="0" w:line="275.9999942779541"/>
                              <w:ind w:left="360"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Faites attention lorsque vous faites vos recherches sur Internet, car les fausses informations peuvent paraître très authentiques. Ne vous laissez pas prendre au piège en pensant qu’une information est vraie parce qu’elle semble provenir d’une source fiable. Vérifiez toujours l’authenticité de la source et confrontez l’information à d’autres sources ou outils (ex. entretiens semi-structurés).</w:t>
                            </w:r>
                          </w:p>
                        </w:txbxContent>
                      </wps:txbx>
                      <wps:bodyPr anchorCtr="0" anchor="t" bIns="38100" lIns="88900" spcFirstLastPara="1" rIns="88900" wrap="square" tIns="38100">
                        <a:noAutofit/>
                      </wps:bodyPr>
                    </wps:wsp>
                  </a:graphicData>
                </a:graphic>
              </wp:inline>
            </w:drawing>
          </mc:Choice>
          <mc:Fallback>
            <w:drawing>
              <wp:inline distB="0" distT="0" distL="114300" distR="114300">
                <wp:extent cx="5708015" cy="3731895"/>
                <wp:effectExtent b="0" l="0" r="0" t="0"/>
                <wp:docPr id="198" name="image6.png"/>
                <a:graphic>
                  <a:graphicData uri="http://schemas.openxmlformats.org/drawingml/2006/picture">
                    <pic:pic>
                      <pic:nvPicPr>
                        <pic:cNvPr id="0" name="image6.png"/>
                        <pic:cNvPicPr preferRelativeResize="0"/>
                      </pic:nvPicPr>
                      <pic:blipFill>
                        <a:blip r:embed="rId31"/>
                        <a:srcRect/>
                        <a:stretch>
                          <a:fillRect/>
                        </a:stretch>
                      </pic:blipFill>
                      <pic:spPr>
                        <a:xfrm>
                          <a:off x="0" y="0"/>
                          <a:ext cx="5708015" cy="373189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A">
      <w:pPr>
        <w:pStyle w:val="Heading1"/>
        <w:spacing w:after="240" w:lineRule="auto"/>
        <w:rPr/>
      </w:pPr>
      <w:r w:rsidDel="00000000" w:rsidR="00000000" w:rsidRPr="00000000">
        <w:rPr>
          <w:rtl w:val="0"/>
        </w:rPr>
        <w:t xml:space="preserve">Prochaines étapes</w:t>
      </w:r>
    </w:p>
    <w:p w:rsidR="00000000" w:rsidDel="00000000" w:rsidP="00000000" w:rsidRDefault="00000000" w:rsidRPr="00000000" w14:paraId="0000007B">
      <w:pPr>
        <w:rPr>
          <w:rFonts w:ascii="Times New Roman" w:cs="Times New Roman" w:eastAsia="Times New Roman" w:hAnsi="Times New Roman"/>
        </w:rPr>
      </w:pPr>
      <w:r w:rsidDel="00000000" w:rsidR="00000000" w:rsidRPr="00000000">
        <w:rPr>
          <w:rtl w:val="0"/>
        </w:rPr>
        <w:t xml:space="preserve">Pour vous aider à analyser les informations recueillies, posez-vous les questions suivantes :</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Qu’a-t-on appris de nouveau ? </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priorités les autres ont-ils relevées ?</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sont les grandes tendances ?</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Existe-t-il des informations contraires (y compris des informations en contradiction avec d’autres sources, comme les entretiens semi-structurés) ?</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rPr>
      </w:pPr>
      <w:r w:rsidDel="00000000" w:rsidR="00000000" w:rsidRPr="00000000">
        <w:rPr>
          <w:rtl w:val="0"/>
        </w:rPr>
        <w:t xml:space="preserve">Les réponses à ces questions pourront vous guider dans le choix d’autres outils, comme les entretiens semi-structurés, l’analyse des moyens de subsistance ou les réunions communautaires, pour vérifier les informations recueillies pendant l’étude des sources secondaires.</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Il peut être très utile d’avoir des informations provenant de sources secondaires avant de commencer une EVCA. Il est important que les membres de l’équipe aient accès à ces informations avant d’aller dans la communauté. Dans certains cas, l’utilité des informations dans le contexte de l’EVCA sera évidente. Dans d’autres, les informations peuvent être utiles, mais sensibles (une nouvelle politique publique qui contribue à la vulnérabilité) ou difficiles à expliquer (un nouveau risque qui apparaît du fait du changement climatique). Les membres de l’équipe doivent réfléchir à l’avance à la manière d’aborder ces questions, s’entendre sur une approche commune et demander conseil en cas de doute.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rPr>
      </w:pPr>
      <w:r w:rsidDel="00000000" w:rsidR="00000000" w:rsidRPr="00000000">
        <w:rPr>
          <w:b w:val="1"/>
          <w:rtl w:val="0"/>
        </w:rPr>
        <w:t xml:space="preserve">Synthétiser et résumer les informations</w:t>
      </w:r>
      <w:r w:rsidDel="00000000" w:rsidR="00000000" w:rsidRPr="00000000">
        <w:rPr>
          <w:sz w:val="22"/>
          <w:szCs w:val="22"/>
          <w:rtl w:val="0"/>
        </w:rPr>
        <w:t xml:space="preserve">,</w:t>
      </w:r>
      <w:r w:rsidDel="00000000" w:rsidR="00000000" w:rsidRPr="00000000">
        <w:rPr>
          <w:rtl w:val="0"/>
        </w:rPr>
        <w:t xml:space="preserve"> puis les communiquer aux membres de la communauté. Qu’en pensent-ils ? Donnent-elles une image fidèle de la réalité dans leur communauté ? Si la réponse est non, les informations doivent être corrigées et actualisées. </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sectPr>
      <w:headerReference r:id="rId32" w:type="default"/>
      <w:headerReference r:id="rId33" w:type="first"/>
      <w:headerReference r:id="rId34" w:type="even"/>
      <w:footerReference r:id="rId35" w:type="default"/>
      <w:footerReference r:id="rId36" w:type="first"/>
      <w:footerReference r:id="rId37" w:type="even"/>
      <w:pgSz w:h="16838" w:w="11906"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comment w:author="Catharine CELLIER-SMART" w:id="0" w:date="2019-06-03T13:52:00Z">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 lien ne marche pas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15:commentEx w15:paraId="00000090"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 w:name="Caecilia LT Std Ligh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1">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Centre Climat Croix-Rouge Croissant-Rouge.</w:t>
        </w:r>
      </w:hyperlink>
      <w:hyperlink r:id="rId2">
        <w:r w:rsidDel="00000000" w:rsidR="00000000" w:rsidRPr="00000000">
          <w:rPr>
            <w:rFonts w:ascii="Calibri" w:cs="Calibri" w:eastAsia="Calibri" w:hAnsi="Calibri"/>
            <w:b w:val="0"/>
            <w:i w:val="0"/>
            <w:smallCaps w:val="0"/>
            <w:strike w:val="0"/>
            <w:color w:val="0000ff"/>
            <w:sz w:val="20"/>
            <w:szCs w:val="20"/>
            <w:u w:val="none"/>
            <w:shd w:fill="auto" w:val="clear"/>
            <w:vertAlign w:val="baseline"/>
            <w:rtl w:val="0"/>
          </w:rPr>
          <w:t xml:space="preserve"> </w:t>
        </w:r>
      </w:hyperlink>
      <w:hyperlink r:id="rId3">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 « Comment prendre le changement climatique en compte dans les évaluations de la vulnérabilité et des capacités ? » 2012</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(en anglais).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Étude des sources secondaires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196" name=""/>
              <a:graphic>
                <a:graphicData uri="http://schemas.microsoft.com/office/word/2010/wordprocessingShape">
                  <wps:wsp>
                    <wps:cNvSpPr/>
                    <wps:cNvPr id="2" name="Shape 2"/>
                    <wps:spPr>
                      <a:xfrm>
                        <a:off x="5292661" y="3679035"/>
                        <a:ext cx="106679" cy="201930"/>
                      </a:xfrm>
                      <a:prstGeom prst="rect">
                        <a:avLst/>
                      </a:prstGeom>
                      <a:solidFill>
                        <a:srgbClr val="00A0DC"/>
                      </a:solidFill>
                      <a:ln cap="flat" cmpd="sng" w="12700">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196"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119379" cy="214630"/>
                      </a:xfrm>
                      <a:prstGeom prst="rect"/>
                      <a:ln/>
                    </pic:spPr>
                  </pic:pic>
                </a:graphicData>
              </a:graphic>
            </wp:anchor>
          </w:drawing>
        </mc:Fallback>
      </mc:AlternateConten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644" w:hanging="359.99999999999994"/>
      </w:pPr>
      <w:rPr>
        <w:rFonts w:ascii="Noto Sans Symbols" w:cs="Noto Sans Symbols" w:eastAsia="Noto Sans Symbols" w:hAnsi="Noto Sans Symbols"/>
        <w:color w:val="000000"/>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Calibri" w:cs="Calibri" w:eastAsia="Calibri" w:hAnsi="Calibri"/>
        <w:b w:val="0"/>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decimal"/>
      <w:lvlText w:val="%1."/>
      <w:lvlJc w:val="left"/>
      <w:pPr>
        <w:ind w:left="360" w:hanging="360"/>
      </w:pPr>
      <w:rPr>
        <w:rFonts w:ascii="Calibri" w:cs="Calibri" w:eastAsia="Calibri" w:hAnsi="Calibri"/>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fr"/>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240" w:line="240" w:lineRule="auto"/>
    </w:pPr>
    <w:rPr>
      <w:rFonts w:ascii="Calibri" w:cs="Calibri" w:eastAsia="Calibri" w:hAnsi="Calibri"/>
      <w:color w:val="003246"/>
      <w:sz w:val="28"/>
      <w:szCs w:val="28"/>
    </w:rPr>
  </w:style>
  <w:style w:type="paragraph" w:styleId="Heading2">
    <w:name w:val="heading 2"/>
    <w:basedOn w:val="Normal"/>
    <w:next w:val="Normal"/>
    <w:pPr>
      <w:spacing w:before="240" w:line="240" w:lineRule="auto"/>
    </w:pPr>
    <w:rPr>
      <w:rFonts w:ascii="Caecilia LT Std Light" w:cs="Caecilia LT Std Light" w:eastAsia="Caecilia LT Std Light" w:hAnsi="Caecilia LT Std Light"/>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240" w:lineRule="auto"/>
    </w:pPr>
    <w:rPr>
      <w:rFonts w:ascii="Calibri" w:cs="Calibri" w:eastAsia="Calibri" w:hAnsi="Calibri"/>
      <w:sz w:val="56"/>
      <w:szCs w:val="56"/>
    </w:rPr>
  </w:style>
  <w:style w:type="paragraph" w:styleId="Normal" w:default="1">
    <w:name w:val="Normal"/>
    <w:qFormat w:val="1"/>
    <w:rsid w:val="003B36FE"/>
    <w:pPr>
      <w:spacing w:after="0" w:line="276" w:lineRule="auto"/>
      <w:jc w:val="both"/>
    </w:pPr>
    <w:rPr>
      <w:rFonts w:cs="Times New Roman" w:eastAsia="Times New Roman"/>
      <w:color w:val="000000"/>
      <w:sz w:val="24"/>
      <w:szCs w:val="24"/>
      <w:lang w:eastAsia="en-GB"/>
    </w:rPr>
  </w:style>
  <w:style w:type="paragraph" w:styleId="Heading1">
    <w:name w:val="heading 1"/>
    <w:basedOn w:val="Normal"/>
    <w:link w:val="Heading1Char"/>
    <w:uiPriority w:val="9"/>
    <w:qFormat w:val="1"/>
    <w:rsid w:val="003B36FE"/>
    <w:pPr>
      <w:spacing w:before="240" w:line="240" w:lineRule="auto"/>
      <w:outlineLvl w:val="0"/>
    </w:pPr>
    <w:rPr>
      <w:rFonts w:asciiTheme="majorHAnsi" w:cstheme="majorBidi" w:eastAsiaTheme="majorEastAsia" w:hAnsiTheme="majorHAnsi"/>
      <w:color w:val="003246"/>
      <w:sz w:val="28"/>
      <w:szCs w:val="36"/>
    </w:rPr>
  </w:style>
  <w:style w:type="paragraph" w:styleId="Heading2">
    <w:name w:val="heading 2"/>
    <w:basedOn w:val="Normal"/>
    <w:next w:val="Normal"/>
    <w:link w:val="Heading2Char"/>
    <w:uiPriority w:val="9"/>
    <w:unhideWhenUsed w:val="1"/>
    <w:qFormat w:val="1"/>
    <w:rsid w:val="00C70FC7"/>
    <w:pPr>
      <w:spacing w:before="240" w:line="240" w:lineRule="auto"/>
      <w:outlineLvl w:val="1"/>
    </w:pPr>
    <w:rPr>
      <w:rFonts w:ascii="Caecilia LT Std Light" w:hAnsi="Caecilia LT Std Light" w:cstheme="majorBidi" w:eastAsiaTheme="majorEastAsia"/>
      <w:b w:val="1"/>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B36FE"/>
    <w:rPr>
      <w:rFonts w:asciiTheme="majorHAnsi" w:cstheme="majorBidi" w:eastAsiaTheme="majorEastAsia" w:hAnsiTheme="majorHAnsi"/>
      <w:color w:val="003246"/>
      <w:sz w:val="28"/>
      <w:szCs w:val="36"/>
      <w:lang w:eastAsia="en-GB"/>
    </w:rPr>
  </w:style>
  <w:style w:type="paragraph" w:styleId="NormalWeb">
    <w:name w:val="Normal (Web)"/>
    <w:basedOn w:val="Normal"/>
    <w:uiPriority w:val="99"/>
    <w:semiHidden w:val="1"/>
    <w:unhideWhenUsed w:val="1"/>
    <w:rsid w:val="00242BCF"/>
    <w:pPr>
      <w:spacing w:after="100" w:afterAutospacing="1" w:before="100" w:beforeAutospacing="1" w:line="240" w:lineRule="auto"/>
    </w:pPr>
    <w:rPr>
      <w:rFonts w:ascii="Times New Roman" w:hAnsi="Times New Roman"/>
    </w:rPr>
  </w:style>
  <w:style w:type="character" w:styleId="Hyperlink">
    <w:name w:val="Hyperlink"/>
    <w:basedOn w:val="DefaultParagraphFont"/>
    <w:uiPriority w:val="99"/>
    <w:unhideWhenUsed w:val="1"/>
    <w:rsid w:val="00242BCF"/>
    <w:rPr>
      <w:color w:val="0000ff"/>
      <w:u w:val="single"/>
    </w:rPr>
  </w:style>
  <w:style w:type="character" w:styleId="CommentReference">
    <w:name w:val="annotation reference"/>
    <w:basedOn w:val="DefaultParagraphFont"/>
    <w:uiPriority w:val="99"/>
    <w:semiHidden w:val="1"/>
    <w:unhideWhenUsed w:val="1"/>
    <w:rsid w:val="00F75BD8"/>
    <w:rPr>
      <w:sz w:val="16"/>
      <w:szCs w:val="16"/>
    </w:rPr>
  </w:style>
  <w:style w:type="paragraph" w:styleId="CommentText">
    <w:name w:val="annotation text"/>
    <w:basedOn w:val="Normal"/>
    <w:link w:val="CommentTextChar"/>
    <w:uiPriority w:val="99"/>
    <w:unhideWhenUsed w:val="1"/>
    <w:rsid w:val="00F75BD8"/>
    <w:pPr>
      <w:spacing w:line="240" w:lineRule="auto"/>
    </w:pPr>
    <w:rPr>
      <w:sz w:val="20"/>
      <w:szCs w:val="20"/>
    </w:rPr>
  </w:style>
  <w:style w:type="character" w:styleId="CommentTextChar" w:customStyle="1">
    <w:name w:val="Comment Text Char"/>
    <w:basedOn w:val="DefaultParagraphFont"/>
    <w:link w:val="CommentText"/>
    <w:uiPriority w:val="99"/>
    <w:rsid w:val="00F75BD8"/>
    <w:rPr>
      <w:sz w:val="20"/>
      <w:szCs w:val="20"/>
    </w:rPr>
  </w:style>
  <w:style w:type="paragraph" w:styleId="CommentSubject">
    <w:name w:val="annotation subject"/>
    <w:basedOn w:val="CommentText"/>
    <w:next w:val="CommentText"/>
    <w:link w:val="CommentSubjectChar"/>
    <w:uiPriority w:val="99"/>
    <w:semiHidden w:val="1"/>
    <w:unhideWhenUsed w:val="1"/>
    <w:rsid w:val="00F75BD8"/>
    <w:rPr>
      <w:b w:val="1"/>
      <w:bCs w:val="1"/>
    </w:rPr>
  </w:style>
  <w:style w:type="character" w:styleId="CommentSubjectChar" w:customStyle="1">
    <w:name w:val="Comment Subject Char"/>
    <w:basedOn w:val="CommentTextChar"/>
    <w:link w:val="CommentSubject"/>
    <w:uiPriority w:val="99"/>
    <w:semiHidden w:val="1"/>
    <w:rsid w:val="00F75BD8"/>
    <w:rPr>
      <w:b w:val="1"/>
      <w:bCs w:val="1"/>
      <w:sz w:val="20"/>
      <w:szCs w:val="20"/>
    </w:rPr>
  </w:style>
  <w:style w:type="paragraph" w:styleId="BalloonText">
    <w:name w:val="Balloon Text"/>
    <w:basedOn w:val="Normal"/>
    <w:link w:val="BalloonTextChar"/>
    <w:uiPriority w:val="99"/>
    <w:semiHidden w:val="1"/>
    <w:unhideWhenUsed w:val="1"/>
    <w:rsid w:val="00F75BD8"/>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F75BD8"/>
    <w:rPr>
      <w:rFonts w:ascii="Segoe UI" w:cs="Segoe UI" w:hAnsi="Segoe UI"/>
      <w:sz w:val="18"/>
      <w:szCs w:val="18"/>
    </w:rPr>
  </w:style>
  <w:style w:type="character" w:styleId="Heading2Char" w:customStyle="1">
    <w:name w:val="Heading 2 Char"/>
    <w:basedOn w:val="DefaultParagraphFont"/>
    <w:link w:val="Heading2"/>
    <w:uiPriority w:val="9"/>
    <w:rsid w:val="00C70FC7"/>
    <w:rPr>
      <w:rFonts w:ascii="Caecilia LT Std Light" w:hAnsi="Caecilia LT Std Light" w:cstheme="majorBidi" w:eastAsiaTheme="majorEastAsia"/>
      <w:b w:val="1"/>
      <w:color w:val="000000"/>
      <w:sz w:val="28"/>
      <w:szCs w:val="26"/>
      <w:lang w:eastAsia="en-GB"/>
    </w:rPr>
  </w:style>
  <w:style w:type="character" w:styleId="UnresolvedMention" w:customStyle="1">
    <w:name w:val="Unresolved Mention"/>
    <w:basedOn w:val="DefaultParagraphFont"/>
    <w:uiPriority w:val="99"/>
    <w:semiHidden w:val="1"/>
    <w:unhideWhenUsed w:val="1"/>
    <w:rsid w:val="00813D60"/>
    <w:rPr>
      <w:color w:val="605e5c"/>
      <w:shd w:color="auto" w:fill="e1dfdd" w:val="clear"/>
    </w:rPr>
  </w:style>
  <w:style w:type="paragraph" w:styleId="Title">
    <w:name w:val="Title"/>
    <w:basedOn w:val="Normal"/>
    <w:next w:val="Normal"/>
    <w:link w:val="TitleChar"/>
    <w:uiPriority w:val="10"/>
    <w:qFormat w:val="1"/>
    <w:rsid w:val="00C70FC7"/>
    <w:pPr>
      <w:spacing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70FC7"/>
    <w:rPr>
      <w:rFonts w:asciiTheme="majorHAnsi" w:cstheme="majorBidi" w:eastAsiaTheme="majorEastAsia" w:hAnsiTheme="majorHAnsi"/>
      <w:color w:val="000000"/>
      <w:spacing w:val="-10"/>
      <w:kern w:val="28"/>
      <w:sz w:val="56"/>
      <w:szCs w:val="56"/>
      <w:lang w:eastAsia="en-GB"/>
    </w:rPr>
  </w:style>
  <w:style w:type="paragraph" w:styleId="ListParagraph">
    <w:name w:val="List Paragraph"/>
    <w:basedOn w:val="Normal"/>
    <w:uiPriority w:val="34"/>
    <w:qFormat w:val="1"/>
    <w:rsid w:val="00C70FC7"/>
    <w:pPr>
      <w:ind w:left="720"/>
      <w:contextualSpacing w:val="1"/>
    </w:pPr>
  </w:style>
  <w:style w:type="character" w:styleId="FollowedHyperlink">
    <w:name w:val="FollowedHyperlink"/>
    <w:basedOn w:val="DefaultParagraphFont"/>
    <w:uiPriority w:val="99"/>
    <w:semiHidden w:val="1"/>
    <w:unhideWhenUsed w:val="1"/>
    <w:rsid w:val="00273721"/>
    <w:rPr>
      <w:color w:val="954f72" w:themeColor="followedHyperlink"/>
      <w:u w:val="single"/>
    </w:rPr>
  </w:style>
  <w:style w:type="paragraph" w:styleId="Header">
    <w:name w:val="header"/>
    <w:basedOn w:val="Normal"/>
    <w:link w:val="HeaderChar"/>
    <w:uiPriority w:val="99"/>
    <w:unhideWhenUsed w:val="1"/>
    <w:rsid w:val="00273721"/>
    <w:pPr>
      <w:tabs>
        <w:tab w:val="center" w:pos="4513"/>
        <w:tab w:val="right" w:pos="9026"/>
      </w:tabs>
      <w:spacing w:line="240" w:lineRule="auto"/>
    </w:pPr>
  </w:style>
  <w:style w:type="character" w:styleId="HeaderChar" w:customStyle="1">
    <w:name w:val="Header Char"/>
    <w:basedOn w:val="DefaultParagraphFont"/>
    <w:link w:val="Header"/>
    <w:uiPriority w:val="99"/>
    <w:rsid w:val="00273721"/>
    <w:rPr>
      <w:rFonts w:cs="Times New Roman" w:eastAsia="Times New Roman"/>
      <w:color w:val="000000"/>
      <w:sz w:val="24"/>
      <w:szCs w:val="24"/>
      <w:lang w:eastAsia="en-GB"/>
    </w:rPr>
  </w:style>
  <w:style w:type="paragraph" w:styleId="Footer">
    <w:name w:val="footer"/>
    <w:basedOn w:val="Normal"/>
    <w:link w:val="FooterChar"/>
    <w:uiPriority w:val="99"/>
    <w:unhideWhenUsed w:val="1"/>
    <w:rsid w:val="00273721"/>
    <w:pPr>
      <w:tabs>
        <w:tab w:val="center" w:pos="4513"/>
        <w:tab w:val="right" w:pos="9026"/>
      </w:tabs>
      <w:spacing w:line="240" w:lineRule="auto"/>
    </w:pPr>
  </w:style>
  <w:style w:type="character" w:styleId="FooterChar" w:customStyle="1">
    <w:name w:val="Footer Char"/>
    <w:basedOn w:val="DefaultParagraphFont"/>
    <w:link w:val="Footer"/>
    <w:uiPriority w:val="99"/>
    <w:rsid w:val="00273721"/>
    <w:rPr>
      <w:rFonts w:cs="Times New Roman" w:eastAsia="Times New Roman"/>
      <w:color w:val="000000"/>
      <w:sz w:val="24"/>
      <w:szCs w:val="24"/>
      <w:lang w:eastAsia="en-GB"/>
    </w:rPr>
  </w:style>
  <w:style w:type="paragraph" w:styleId="FootnoteText">
    <w:name w:val="footnote text"/>
    <w:basedOn w:val="Normal"/>
    <w:link w:val="FootnoteTextChar"/>
    <w:uiPriority w:val="99"/>
    <w:unhideWhenUsed w:val="1"/>
    <w:rsid w:val="00864811"/>
    <w:pPr>
      <w:spacing w:line="240" w:lineRule="auto"/>
    </w:pPr>
    <w:rPr>
      <w:sz w:val="20"/>
      <w:szCs w:val="20"/>
    </w:rPr>
  </w:style>
  <w:style w:type="character" w:styleId="FootnoteTextChar" w:customStyle="1">
    <w:name w:val="Footnote Text Char"/>
    <w:basedOn w:val="DefaultParagraphFont"/>
    <w:link w:val="FootnoteText"/>
    <w:uiPriority w:val="99"/>
    <w:rsid w:val="00864811"/>
    <w:rPr>
      <w:rFonts w:cs="Times New Roman" w:eastAsia="Times New Roman"/>
      <w:color w:val="000000"/>
      <w:sz w:val="20"/>
      <w:szCs w:val="20"/>
      <w:lang w:eastAsia="en-GB"/>
    </w:rPr>
  </w:style>
  <w:style w:type="character" w:styleId="FootnoteReference">
    <w:name w:val="footnote reference"/>
    <w:basedOn w:val="DefaultParagraphFont"/>
    <w:uiPriority w:val="99"/>
    <w:semiHidden w:val="1"/>
    <w:unhideWhenUsed w:val="1"/>
    <w:rsid w:val="00864811"/>
    <w:rPr>
      <w:vertAlign w:val="superscript"/>
    </w:rPr>
  </w:style>
  <w:style w:type="table" w:styleId="GridTable1LightAccent1" w:customStyle="1">
    <w:name w:val="Grid Table 1 Light Accent 1"/>
    <w:basedOn w:val="TableNormal"/>
    <w:uiPriority w:val="46"/>
    <w:rsid w:val="001B3D24"/>
    <w:pPr>
      <w:spacing w:after="0" w:line="240" w:lineRule="auto"/>
    </w:pPr>
    <w:tblPr>
      <w:tblStyleRowBandSize w:val="1"/>
      <w:tblStyleColBandSize w:val="1"/>
      <w:tblInd w:w="0.0" w:type="dxa"/>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paragraph" w:styleId="Revision">
    <w:name w:val="Revision"/>
    <w:hidden w:val="1"/>
    <w:uiPriority w:val="99"/>
    <w:semiHidden w:val="1"/>
    <w:rsid w:val="00124076"/>
    <w:pPr>
      <w:spacing w:after="0" w:line="240" w:lineRule="auto"/>
    </w:pPr>
    <w:rPr>
      <w:rFonts w:cs="Times New Roman" w:eastAsia="Times New Roman"/>
      <w:color w:val="000000"/>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iridl.ldeo.columbia.edu/maproom/IFRC/TD/ClimateChange.html" TargetMode="External"/><Relationship Id="rId22" Type="http://schemas.openxmlformats.org/officeDocument/2006/relationships/hyperlink" Target="https://go.ifrc.org/" TargetMode="External"/><Relationship Id="rId21" Type="http://schemas.openxmlformats.org/officeDocument/2006/relationships/hyperlink" Target="https://www.openstreetmap.org/#map=6/9.037/-8.064&amp;layers=C" TargetMode="External"/><Relationship Id="rId24" Type="http://schemas.openxmlformats.org/officeDocument/2006/relationships/hyperlink" Target="https://geonode.wfp.org/maps/?limit=10&amp;offset=0" TargetMode="External"/><Relationship Id="rId23" Type="http://schemas.openxmlformats.org/officeDocument/2006/relationships/hyperlink" Target="http://fews.net/about-us"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26" Type="http://schemas.openxmlformats.org/officeDocument/2006/relationships/hyperlink" Target="https://www.who.int/data/gho/data/countries" TargetMode="External"/><Relationship Id="rId25" Type="http://schemas.openxmlformats.org/officeDocument/2006/relationships/hyperlink" Target="http://www.fao.org/giews/en/" TargetMode="External"/><Relationship Id="rId28" Type="http://schemas.openxmlformats.org/officeDocument/2006/relationships/image" Target="media/image3.png"/><Relationship Id="rId27" Type="http://schemas.openxmlformats.org/officeDocument/2006/relationships/hyperlink" Target="https://www.unicef.org/reports/unicef-fact-sheet" TargetMode="External"/><Relationship Id="rId5" Type="http://schemas.openxmlformats.org/officeDocument/2006/relationships/footnotes" Target="footnotes.xml"/><Relationship Id="rId6" Type="http://schemas.openxmlformats.org/officeDocument/2006/relationships/numbering" Target="numbering.xml"/><Relationship Id="rId29" Type="http://schemas.openxmlformats.org/officeDocument/2006/relationships/hyperlink" Target="http://www.climatecentre.org/site/presentations" TargetMode="External"/><Relationship Id="rId7" Type="http://schemas.openxmlformats.org/officeDocument/2006/relationships/styles" Target="styles.xml"/><Relationship Id="rId8" Type="http://schemas.openxmlformats.org/officeDocument/2006/relationships/customXml" Target="../customXML/item1.xml"/><Relationship Id="rId31" Type="http://schemas.openxmlformats.org/officeDocument/2006/relationships/image" Target="media/image6.png"/><Relationship Id="rId30" Type="http://schemas.openxmlformats.org/officeDocument/2006/relationships/hyperlink" Target="http://ifrcvca.org/community-factsheet" TargetMode="External"/><Relationship Id="rId11" Type="http://schemas.openxmlformats.org/officeDocument/2006/relationships/image" Target="media/image5.png"/><Relationship Id="rId33" Type="http://schemas.openxmlformats.org/officeDocument/2006/relationships/header" Target="header3.xml"/><Relationship Id="rId10" Type="http://schemas.openxmlformats.org/officeDocument/2006/relationships/image" Target="media/image7.png"/><Relationship Id="rId32" Type="http://schemas.openxmlformats.org/officeDocument/2006/relationships/header" Target="header1.xml"/><Relationship Id="rId13" Type="http://schemas.openxmlformats.org/officeDocument/2006/relationships/hyperlink" Target="https://docs.wixstatic.com/ugd/7baf5b_df66e242a7ee44ce9dce543c2a205cf1.pdf" TargetMode="External"/><Relationship Id="rId35" Type="http://schemas.openxmlformats.org/officeDocument/2006/relationships/footer" Target="footer3.xml"/><Relationship Id="rId12" Type="http://schemas.openxmlformats.org/officeDocument/2006/relationships/image" Target="media/image2.png"/><Relationship Id="rId34" Type="http://schemas.openxmlformats.org/officeDocument/2006/relationships/header" Target="header2.xml"/><Relationship Id="rId15" Type="http://schemas.openxmlformats.org/officeDocument/2006/relationships/hyperlink" Target="https://www.preventionweb.net/countries/map#hits=20&amp;sortby=default&amp;view=pw" TargetMode="External"/><Relationship Id="rId37" Type="http://schemas.openxmlformats.org/officeDocument/2006/relationships/footer" Target="footer1.xml"/><Relationship Id="rId14" Type="http://schemas.openxmlformats.org/officeDocument/2006/relationships/image" Target="media/image1.png"/><Relationship Id="rId36" Type="http://schemas.openxmlformats.org/officeDocument/2006/relationships/footer" Target="footer2.xml"/><Relationship Id="rId17" Type="http://schemas.openxmlformats.org/officeDocument/2006/relationships/hyperlink" Target="http://www.inform-index.org/" TargetMode="External"/><Relationship Id="rId16" Type="http://schemas.openxmlformats.org/officeDocument/2006/relationships/hyperlink" Target="http://thinkhazard.org/en/" TargetMode="External"/><Relationship Id="rId19" Type="http://schemas.openxmlformats.org/officeDocument/2006/relationships/hyperlink" Target="http://sdwebx.worldbank.org/climateportal/index.cfm?page=climate_country_adaptation" TargetMode="External"/><Relationship Id="rId18" Type="http://schemas.openxmlformats.org/officeDocument/2006/relationships/hyperlink" Target="https://data.worldbank.org/countr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a7bdbb5fa454ec59dc69ed30e1d3265.pdf" TargetMode="External"/><Relationship Id="rId2" Type="http://schemas.openxmlformats.org/officeDocument/2006/relationships/hyperlink" Target="https://docs.wixstatic.com/ugd/7baf5b_ea7bdbb5fa454ec59dc69ed30e1d3265.pdf" TargetMode="External"/><Relationship Id="rId3" Type="http://schemas.openxmlformats.org/officeDocument/2006/relationships/hyperlink" Target="https://docs.wixstatic.com/ugd/7baf5b_ea7bdbb5fa454ec59dc69ed30e1d326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jO9x0o78dXY1xjnd/2SiyJyKAw==">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2018-12-07T08:52:00Z</dcterms:created>
  <dc:creator>Lucia ROBLES DIOS</dc:creator>
</cp:coreProperties>
</file>