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0,0l0,21600,21600,21600,21600,0xe">
            <v:stroke joinstyle="miter"/>
            <v:path o:connecttype="rect" gradientshapeok="t"/>
          </v:shapetype>
        </w:pict>
      </w:r>
    </w:p>
    <w:p w:rsidR="00000000" w:rsidDel="00000000" w:rsidP="00000000" w:rsidRDefault="00000000" w:rsidRPr="00000000" w14:paraId="00000002">
      <w:pPr>
        <w:pStyle w:val="Heading1"/>
        <w:pBdr>
          <w:bottom w:color="00a0dc" w:space="1" w:sz="12" w:val="single"/>
        </w:pBdr>
        <w:jc w:val="center"/>
        <w:rPr>
          <w:color w:val="00a0dc"/>
          <w:sz w:val="40"/>
          <w:szCs w:val="40"/>
        </w:rPr>
      </w:pPr>
      <w:bookmarkStart w:colFirst="0" w:colLast="0" w:name="_heading=h.gjdgxs" w:id="0"/>
      <w:bookmarkEnd w:id="0"/>
      <w:r w:rsidDel="00000000" w:rsidR="00000000" w:rsidRPr="00000000">
        <w:rPr>
          <w:color w:val="00a0dc"/>
          <w:sz w:val="40"/>
          <w:szCs w:val="40"/>
          <w:rtl w:val="0"/>
        </w:rPr>
        <w:t xml:space="preserve">Inclure des considérations complémentaires sur le genre et la diversité, le climat, les moyens de subsistance et la santé dans la marche transversale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Ce qui suit est une liste de suggestions élaborée par des praticiens de l’EVC de diverses régions du monde en vue d’adapter ou d’améliorer certains aspects des outils de l’EVCA. L’essentiel a été intégré dans les outils révisés, mais nous vous recommandons d’envisager les ajouts proposés ci-après si vous souhaitez centrer votre EVC sur l’un ou plusieurs des thèmes suivants : </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Genre et diversité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Adaptation au changement climatique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Moyens de subsistance </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pPr>
      <w:r w:rsidDel="00000000" w:rsidR="00000000" w:rsidRPr="00000000">
        <w:rPr>
          <w:rtl w:val="0"/>
        </w:rPr>
        <w:t xml:space="preserve">Épidémies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rPr/>
      </w:pPr>
      <w:r w:rsidDel="00000000" w:rsidR="00000000" w:rsidRPr="00000000">
        <w:rPr>
          <w:rtl w:val="0"/>
        </w:rPr>
        <w:t xml:space="preserve">Lisez et utilisez-les en complément des étapes décrites dans </w:t>
      </w:r>
      <w:hyperlink r:id="rId8">
        <w:r w:rsidDel="00000000" w:rsidR="00000000" w:rsidRPr="00000000">
          <w:rPr>
            <w:color w:val="0563c1"/>
            <w:u w:val="single"/>
            <w:rtl w:val="0"/>
          </w:rPr>
          <w:t xml:space="preserve">La marche transversale</w:t>
        </w:r>
      </w:hyperlink>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wp:posOffset>
                </wp:positionH>
                <wp:positionV relativeFrom="paragraph">
                  <wp:posOffset>159488</wp:posOffset>
                </wp:positionV>
                <wp:extent cx="5781675" cy="457200"/>
                <wp:effectExtent b="0" l="0" r="0" t="0"/>
                <wp:wrapNone/>
                <wp:docPr id="23" name=""/>
                <a:graphic>
                  <a:graphicData uri="http://schemas.microsoft.com/office/word/2010/wordprocessingShape">
                    <wps:wsp>
                      <wps:cNvSpPr/>
                      <wps:cNvPr id="5" name="Shape 5"/>
                      <wps:spPr>
                        <a:xfrm>
                          <a:off x="2503740" y="3560291"/>
                          <a:ext cx="5684520" cy="439419"/>
                        </a:xfrm>
                        <a:custGeom>
                          <a:rect b="b" l="l" r="r" t="t"/>
                          <a:pathLst>
                            <a:path extrusionOk="0" h="439419" w="5684520">
                              <a:moveTo>
                                <a:pt x="0" y="0"/>
                              </a:moveTo>
                              <a:lnTo>
                                <a:pt x="0" y="439419"/>
                              </a:lnTo>
                              <a:lnTo>
                                <a:pt x="5684520" y="439419"/>
                              </a:lnTo>
                              <a:lnTo>
                                <a:pt x="568452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wp:posOffset>
                </wp:positionH>
                <wp:positionV relativeFrom="paragraph">
                  <wp:posOffset>159488</wp:posOffset>
                </wp:positionV>
                <wp:extent cx="5781675" cy="457200"/>
                <wp:effectExtent b="0" l="0" r="0" t="0"/>
                <wp:wrapNone/>
                <wp:docPr id="23"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5781675" cy="4572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200025</wp:posOffset>
            </wp:positionV>
            <wp:extent cx="387350" cy="377190"/>
            <wp:effectExtent b="0" l="0" r="0" t="0"/>
            <wp:wrapNone/>
            <wp:docPr id="28"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87350" cy="377190"/>
                    </a:xfrm>
                    <a:prstGeom prst="rect"/>
                    <a:ln/>
                  </pic:spPr>
                </pic:pic>
              </a:graphicData>
            </a:graphic>
          </wp:anchor>
        </w:drawing>
      </w:r>
    </w:p>
    <w:p w:rsidR="00000000" w:rsidDel="00000000" w:rsidP="00000000" w:rsidRDefault="00000000" w:rsidRPr="00000000" w14:paraId="0000000B">
      <w:pPr>
        <w:pStyle w:val="Heading2"/>
        <w:ind w:firstLine="720"/>
        <w:rPr/>
      </w:pPr>
      <w:r w:rsidDel="00000000" w:rsidR="00000000" w:rsidRPr="00000000">
        <w:rPr>
          <w:rtl w:val="0"/>
        </w:rPr>
        <w:t xml:space="preserve"> Genre et diversité</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bookmarkStart w:colFirst="0" w:colLast="0" w:name="_heading=h.30j0zll" w:id="1"/>
      <w:bookmarkEnd w:id="1"/>
      <w:r w:rsidDel="00000000" w:rsidR="00000000" w:rsidRPr="00000000">
        <w:rPr>
          <w:rtl w:val="0"/>
        </w:rPr>
        <w:t xml:space="preserve">Veillez à ce que le secteur à parcourir ait été décidé en consultation avec les différents groupes de la communauté (hommes, femmes, garçons, filles, etc.) pour être sûr d’obtenir une vue représentative du village ou de la communauté. Par exemple, les hommes et les femmes ne seront pas du même avis sur les zones de la communauté à observer, ou sur les itinéraires. Les personnes en situation de handicap devront éventuellement suivre des itinéraires différents pour accéder à divers services, ce dont d’autres membres de la communauté pourraient ne pas avoir conscience.</w:t>
      </w:r>
    </w:p>
    <w:p w:rsidR="00000000" w:rsidDel="00000000" w:rsidP="00000000" w:rsidRDefault="00000000" w:rsidRPr="00000000" w14:paraId="0000000E">
      <w:pPr>
        <w:rPr/>
      </w:pPr>
      <w:r w:rsidDel="00000000" w:rsidR="00000000" w:rsidRPr="00000000">
        <w:rPr>
          <w:rtl w:val="0"/>
        </w:rPr>
        <w:t xml:space="preserve">Si la marche transversale est effectuée à la suite d’un exercice de cartographie, utilisez la carte pour établir les itinéraires avec différents groupes de la communauté.</w:t>
      </w:r>
    </w:p>
    <w:p w:rsidR="00000000" w:rsidDel="00000000" w:rsidP="00000000" w:rsidRDefault="00000000" w:rsidRPr="00000000" w14:paraId="0000000F">
      <w:pPr>
        <w:rPr/>
      </w:pPr>
      <w:r w:rsidDel="00000000" w:rsidR="00000000" w:rsidRPr="00000000">
        <w:rPr>
          <w:rtl w:val="0"/>
        </w:rPr>
        <w:t xml:space="preserve">Veuillez à ce que l’équipe soit représentative de la communauté et équilibrée hommes-femmes pour faciliter les discussions avec les habitants des deux sexes pendant la marche.</w:t>
      </w:r>
    </w:p>
    <w:p w:rsidR="00000000" w:rsidDel="00000000" w:rsidP="00000000" w:rsidRDefault="00000000" w:rsidRPr="00000000" w14:paraId="00000010">
      <w:pPr>
        <w:rPr/>
      </w:pPr>
      <w:bookmarkStart w:colFirst="0" w:colLast="0" w:name="_heading=h.1fob9te" w:id="2"/>
      <w:bookmarkEnd w:id="2"/>
      <w:r w:rsidDel="00000000" w:rsidR="00000000" w:rsidRPr="00000000">
        <w:rPr>
          <w:rtl w:val="0"/>
        </w:rPr>
        <w:t xml:space="preserve">Faites-vous accompagner par des membres de la communauté représentant les différentes catégories de population. Le groupe pourrait être composé d’un mélange de personnes appartenant à différentes catégories de population, ce qui permettra de sensibiliser aux divers points de vue. Vous pouvez aussi effectuer plusieurs marches transversales avec des groupes différents.</w:t>
      </w:r>
    </w:p>
    <w:p w:rsidR="00000000" w:rsidDel="00000000" w:rsidP="00000000" w:rsidRDefault="00000000" w:rsidRPr="00000000" w14:paraId="00000011">
      <w:pPr>
        <w:rPr/>
      </w:pPr>
      <w:r w:rsidDel="00000000" w:rsidR="00000000" w:rsidRPr="00000000">
        <w:rPr>
          <w:rtl w:val="0"/>
        </w:rPr>
        <w:t xml:space="preserve">Ayez soin de parer aux besoins des personnes en situation de handicap afin qu’elles puissent participer à la marche.</w:t>
      </w:r>
    </w:p>
    <w:p w:rsidR="00000000" w:rsidDel="00000000" w:rsidP="00000000" w:rsidRDefault="00000000" w:rsidRPr="00000000" w14:paraId="00000012">
      <w:pPr>
        <w:rPr/>
      </w:pPr>
      <w:r w:rsidDel="00000000" w:rsidR="00000000" w:rsidRPr="00000000">
        <w:rPr>
          <w:rtl w:val="0"/>
        </w:rPr>
        <w:t xml:space="preserve">Lorsque vous enregistrez les informations obtenues pendant la marche, ventilez-les par sexe, surtout lorsque vous notez les types de moyens de subsistance, les centres sociaux (sont-ils utilisés uniquement par les hommes ou les femmes ?), les risques particuliers mentionnés par les hommes et les femmes, la propriété foncière, etc. Mettez aussi en évidence les informations fournies par des groupes particuliers de la communauté.</w:t>
      </w:r>
    </w:p>
    <w:p w:rsidR="00000000" w:rsidDel="00000000" w:rsidP="00000000" w:rsidRDefault="00000000" w:rsidRPr="00000000" w14:paraId="00000013">
      <w:pPr>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wp:posOffset>
                </wp:positionH>
                <wp:positionV relativeFrom="paragraph">
                  <wp:posOffset>161925</wp:posOffset>
                </wp:positionV>
                <wp:extent cx="5819775" cy="457200"/>
                <wp:effectExtent b="0" l="0" r="0" t="0"/>
                <wp:wrapNone/>
                <wp:docPr id="24" name=""/>
                <a:graphic>
                  <a:graphicData uri="http://schemas.microsoft.com/office/word/2010/wordprocessingShape">
                    <wps:wsp>
                      <wps:cNvSpPr/>
                      <wps:cNvPr id="6" name="Shape 6"/>
                      <wps:spPr>
                        <a:xfrm>
                          <a:off x="2503740" y="3560291"/>
                          <a:ext cx="5684520" cy="439419"/>
                        </a:xfrm>
                        <a:custGeom>
                          <a:rect b="b" l="l" r="r" t="t"/>
                          <a:pathLst>
                            <a:path extrusionOk="0" h="439419" w="5684520">
                              <a:moveTo>
                                <a:pt x="0" y="0"/>
                              </a:moveTo>
                              <a:lnTo>
                                <a:pt x="0" y="439419"/>
                              </a:lnTo>
                              <a:lnTo>
                                <a:pt x="5684520" y="439419"/>
                              </a:lnTo>
                              <a:lnTo>
                                <a:pt x="568452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wp:posOffset>
                </wp:positionH>
                <wp:positionV relativeFrom="paragraph">
                  <wp:posOffset>161925</wp:posOffset>
                </wp:positionV>
                <wp:extent cx="5819775" cy="457200"/>
                <wp:effectExtent b="0" l="0" r="0" t="0"/>
                <wp:wrapNone/>
                <wp:docPr id="24"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5819775" cy="4572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44451</wp:posOffset>
            </wp:positionH>
            <wp:positionV relativeFrom="paragraph">
              <wp:posOffset>197930</wp:posOffset>
            </wp:positionV>
            <wp:extent cx="370205" cy="370205"/>
            <wp:effectExtent b="0" l="0" r="0" t="0"/>
            <wp:wrapNone/>
            <wp:docPr descr="cid:image001.png@01D404BD.B91DE060" id="26" name="image1.png"/>
            <a:graphic>
              <a:graphicData uri="http://schemas.openxmlformats.org/drawingml/2006/picture">
                <pic:pic>
                  <pic:nvPicPr>
                    <pic:cNvPr descr="cid:image001.png@01D404BD.B91DE060" id="0" name="image1.png"/>
                    <pic:cNvPicPr preferRelativeResize="0"/>
                  </pic:nvPicPr>
                  <pic:blipFill>
                    <a:blip r:embed="rId12"/>
                    <a:srcRect b="0" l="0" r="0" t="0"/>
                    <a:stretch>
                      <a:fillRect/>
                    </a:stretch>
                  </pic:blipFill>
                  <pic:spPr>
                    <a:xfrm>
                      <a:off x="0" y="0"/>
                      <a:ext cx="370205" cy="370205"/>
                    </a:xfrm>
                    <a:prstGeom prst="rect"/>
                    <a:ln/>
                  </pic:spPr>
                </pic:pic>
              </a:graphicData>
            </a:graphic>
          </wp:anchor>
        </w:drawing>
      </w:r>
    </w:p>
    <w:p w:rsidR="00000000" w:rsidDel="00000000" w:rsidP="00000000" w:rsidRDefault="00000000" w:rsidRPr="00000000" w14:paraId="00000014">
      <w:pPr>
        <w:pStyle w:val="Heading2"/>
        <w:rPr/>
      </w:pPr>
      <w:r w:rsidDel="00000000" w:rsidR="00000000" w:rsidRPr="00000000">
        <w:rPr>
          <w:rtl w:val="0"/>
        </w:rPr>
        <w:tab/>
        <w:t xml:space="preserve">Adaptation au changement climatique</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t xml:space="preserve">À partir des informations recueillies pendant la planification d’une EVC, vous pourriez utiliser un fond de carte pour indiquer les lieux où des changements sont probables à l’avenir (ex. la montée du niveau de la mer). Vous verrez ainsi les plus vulnérables. </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wp:posOffset>
                </wp:positionH>
                <wp:positionV relativeFrom="paragraph">
                  <wp:posOffset>180975</wp:posOffset>
                </wp:positionV>
                <wp:extent cx="6038850" cy="628650"/>
                <wp:effectExtent b="0" l="0" r="0" t="0"/>
                <wp:wrapNone/>
                <wp:docPr id="22" name=""/>
                <a:graphic>
                  <a:graphicData uri="http://schemas.microsoft.com/office/word/2010/wordprocessingShape">
                    <wps:wsp>
                      <wps:cNvSpPr/>
                      <wps:cNvPr id="4" name="Shape 4"/>
                      <wps:spPr>
                        <a:xfrm>
                          <a:off x="2391663" y="3476470"/>
                          <a:ext cx="5908675" cy="607060"/>
                        </a:xfrm>
                        <a:custGeom>
                          <a:rect b="b" l="l" r="r" t="t"/>
                          <a:pathLst>
                            <a:path extrusionOk="0" h="607060" w="5908675">
                              <a:moveTo>
                                <a:pt x="0" y="0"/>
                              </a:moveTo>
                              <a:lnTo>
                                <a:pt x="0" y="607060"/>
                              </a:lnTo>
                              <a:lnTo>
                                <a:pt x="5908675" y="607060"/>
                              </a:lnTo>
                              <a:lnTo>
                                <a:pt x="5908675"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wp:posOffset>
                </wp:positionH>
                <wp:positionV relativeFrom="paragraph">
                  <wp:posOffset>180975</wp:posOffset>
                </wp:positionV>
                <wp:extent cx="6038850" cy="628650"/>
                <wp:effectExtent b="0" l="0" r="0" t="0"/>
                <wp:wrapNone/>
                <wp:docPr id="22" name="image7.png"/>
                <a:graphic>
                  <a:graphicData uri="http://schemas.openxmlformats.org/drawingml/2006/picture">
                    <pic:pic>
                      <pic:nvPicPr>
                        <pic:cNvPr id="0" name="image7.png"/>
                        <pic:cNvPicPr preferRelativeResize="0"/>
                      </pic:nvPicPr>
                      <pic:blipFill>
                        <a:blip r:embed="rId13"/>
                        <a:srcRect/>
                        <a:stretch>
                          <a:fillRect/>
                        </a:stretch>
                      </pic:blipFill>
                      <pic:spPr>
                        <a:xfrm>
                          <a:off x="0" y="0"/>
                          <a:ext cx="6038850" cy="6286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285750</wp:posOffset>
            </wp:positionV>
            <wp:extent cx="419100" cy="419100"/>
            <wp:effectExtent b="0" l="0" r="0" t="0"/>
            <wp:wrapNone/>
            <wp:docPr id="25" name="image3.png"/>
            <a:graphic>
              <a:graphicData uri="http://schemas.openxmlformats.org/drawingml/2006/picture">
                <pic:pic>
                  <pic:nvPicPr>
                    <pic:cNvPr id="0" name="image3.png"/>
                    <pic:cNvPicPr preferRelativeResize="0"/>
                  </pic:nvPicPr>
                  <pic:blipFill>
                    <a:blip r:embed="rId14"/>
                    <a:srcRect b="33384" l="54227" r="20817" t="26678"/>
                    <a:stretch>
                      <a:fillRect/>
                    </a:stretch>
                  </pic:blipFill>
                  <pic:spPr>
                    <a:xfrm>
                      <a:off x="0" y="0"/>
                      <a:ext cx="419100" cy="419100"/>
                    </a:xfrm>
                    <a:prstGeom prst="rect"/>
                    <a:ln/>
                  </pic:spPr>
                </pic:pic>
              </a:graphicData>
            </a:graphic>
          </wp:anchor>
        </w:drawing>
      </w:r>
    </w:p>
    <w:p w:rsidR="00000000" w:rsidDel="00000000" w:rsidP="00000000" w:rsidRDefault="00000000" w:rsidRPr="00000000" w14:paraId="00000018">
      <w:pPr>
        <w:pStyle w:val="Heading2"/>
        <w:ind w:left="709" w:hanging="709"/>
        <w:rPr/>
      </w:pPr>
      <w:r w:rsidDel="00000000" w:rsidR="00000000" w:rsidRPr="00000000">
        <w:rPr>
          <w:rtl w:val="0"/>
        </w:rPr>
        <w:tab/>
        <w:t xml:space="preserve">Moyens de subsistance :  activités économiques, ressources et services financiers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spacing w:after="0" w:before="120" w:line="240" w:lineRule="auto"/>
        <w:rPr/>
      </w:pPr>
      <w:r w:rsidDel="00000000" w:rsidR="00000000" w:rsidRPr="00000000">
        <w:rPr>
          <w:rtl w:val="0"/>
        </w:rPr>
        <w:t xml:space="preserve">Veillez à vous rendre dans les zones qui, selon vos informateurs principaux, présentent un intérêt pour les moyens de subsistance de la communauté. Pensez aussi aux 5 types de capital mentionnés dans l’exercice de cartographie</w:t>
      </w:r>
      <w:r w:rsidDel="00000000" w:rsidR="00000000" w:rsidRPr="00000000">
        <w:rPr>
          <w:vertAlign w:val="superscript"/>
        </w:rPr>
        <w:footnoteReference w:customMarkFollows="0" w:id="2"/>
      </w:r>
      <w:r w:rsidDel="00000000" w:rsidR="00000000" w:rsidRPr="00000000">
        <w:rPr>
          <w:rtl w:val="0"/>
        </w:rPr>
        <w:t xml:space="preserve"> et reliez l’observation aux principaux types de moyens de subsistance recensés pour la communauté.</w:t>
      </w:r>
    </w:p>
    <w:p w:rsidR="00000000" w:rsidDel="00000000" w:rsidP="00000000" w:rsidRDefault="00000000" w:rsidRPr="00000000" w14:paraId="0000001B">
      <w:pPr>
        <w:spacing w:after="0" w:before="120" w:line="240" w:lineRule="auto"/>
        <w:rPr/>
      </w:pPr>
      <w:r w:rsidDel="00000000" w:rsidR="00000000" w:rsidRPr="00000000">
        <w:rPr>
          <w:rtl w:val="0"/>
        </w:rPr>
        <w:t xml:space="preserve">La marche transversale est une occasion d’observer : </w:t>
      </w:r>
    </w:p>
    <w:p w:rsidR="00000000" w:rsidDel="00000000" w:rsidP="00000000" w:rsidRDefault="00000000" w:rsidRPr="00000000" w14:paraId="0000001C">
      <w:pPr>
        <w:numPr>
          <w:ilvl w:val="0"/>
          <w:numId w:val="3"/>
        </w:numPr>
        <w:spacing w:after="0" w:before="0" w:line="240" w:lineRule="auto"/>
        <w:ind w:left="720" w:hanging="360"/>
        <w:jc w:val="left"/>
        <w:rPr/>
      </w:pPr>
      <w:r w:rsidDel="00000000" w:rsidR="00000000" w:rsidRPr="00000000">
        <w:rPr>
          <w:rtl w:val="0"/>
        </w:rPr>
        <w:t xml:space="preserve">Les activités de subsistance courantes et les personnes qui s’en chargent (hommes, femmes, personnes âgées) </w:t>
      </w:r>
    </w:p>
    <w:p w:rsidR="00000000" w:rsidDel="00000000" w:rsidP="00000000" w:rsidRDefault="00000000" w:rsidRPr="00000000" w14:paraId="0000001D">
      <w:pPr>
        <w:numPr>
          <w:ilvl w:val="0"/>
          <w:numId w:val="3"/>
        </w:numPr>
        <w:spacing w:after="0" w:before="0" w:line="240" w:lineRule="auto"/>
        <w:ind w:left="720" w:hanging="360"/>
        <w:jc w:val="left"/>
        <w:rPr/>
      </w:pPr>
      <w:r w:rsidDel="00000000" w:rsidR="00000000" w:rsidRPr="00000000">
        <w:rPr>
          <w:rtl w:val="0"/>
        </w:rPr>
        <w:t xml:space="preserve">Les ressources naturelles et physiques : terres agricoles et aires de pâturage, forêts, cours d’eau (disponibilité de sources d’eau pour le bétail ou l’agriculture) : pensez à la distance, à l’accès et à l’état </w:t>
      </w:r>
    </w:p>
    <w:p w:rsidR="00000000" w:rsidDel="00000000" w:rsidP="00000000" w:rsidRDefault="00000000" w:rsidRPr="00000000" w14:paraId="0000001E">
      <w:pPr>
        <w:numPr>
          <w:ilvl w:val="0"/>
          <w:numId w:val="3"/>
        </w:numPr>
        <w:spacing w:after="0" w:before="0" w:line="240" w:lineRule="auto"/>
        <w:ind w:left="720" w:hanging="360"/>
        <w:jc w:val="left"/>
        <w:rPr/>
      </w:pPr>
      <w:r w:rsidDel="00000000" w:rsidR="00000000" w:rsidRPr="00000000">
        <w:rPr>
          <w:rtl w:val="0"/>
        </w:rPr>
        <w:t xml:space="preserve">L’état des ressources physiques (productives) : outils et intrants agricoles, bétail (types, état de santé) ; jardins potagers, champs cultivés, matériel des microentreprises et petites entreprises (état, entretient, etc.)</w:t>
      </w:r>
    </w:p>
    <w:p w:rsidR="00000000" w:rsidDel="00000000" w:rsidP="00000000" w:rsidRDefault="00000000" w:rsidRPr="00000000" w14:paraId="0000001F">
      <w:pPr>
        <w:numPr>
          <w:ilvl w:val="0"/>
          <w:numId w:val="3"/>
        </w:numPr>
        <w:spacing w:after="0" w:before="0" w:line="240" w:lineRule="auto"/>
        <w:ind w:left="720" w:hanging="360"/>
        <w:jc w:val="left"/>
        <w:rPr/>
      </w:pPr>
      <w:r w:rsidDel="00000000" w:rsidR="00000000" w:rsidRPr="00000000">
        <w:rPr>
          <w:rtl w:val="0"/>
        </w:rPr>
        <w:t xml:space="preserve">Les marchés, magasins, etc. : nombre de détaillants, ce qu’ils vendent, les articles qui manquent ?</w:t>
      </w:r>
    </w:p>
    <w:p w:rsidR="00000000" w:rsidDel="00000000" w:rsidP="00000000" w:rsidRDefault="00000000" w:rsidRPr="00000000" w14:paraId="00000020">
      <w:pPr>
        <w:numPr>
          <w:ilvl w:val="0"/>
          <w:numId w:val="3"/>
        </w:numPr>
        <w:spacing w:after="40" w:before="0" w:line="240" w:lineRule="auto"/>
        <w:ind w:left="720" w:hanging="360"/>
        <w:jc w:val="left"/>
        <w:rPr/>
      </w:pPr>
      <w:r w:rsidDel="00000000" w:rsidR="00000000" w:rsidRPr="00000000">
        <w:rPr>
          <w:rtl w:val="0"/>
        </w:rPr>
        <w:t xml:space="preserve">La disponibilité de services financiers (groupes d’épargne, banques, guichets automatiques bancaires, établissements de microfinancement, prêteurs, etc.)</w:t>
      </w:r>
    </w:p>
    <w:p w:rsidR="00000000" w:rsidDel="00000000" w:rsidP="00000000" w:rsidRDefault="00000000" w:rsidRPr="00000000" w14:paraId="00000021">
      <w:pPr>
        <w:spacing w:after="0" w:before="40" w:line="240" w:lineRule="auto"/>
        <w:rPr/>
      </w:pPr>
      <w:r w:rsidDel="00000000" w:rsidR="00000000" w:rsidRPr="00000000">
        <w:rPr>
          <w:rtl w:val="0"/>
        </w:rPr>
      </w:r>
    </w:p>
    <w:p w:rsidR="00000000" w:rsidDel="00000000" w:rsidP="00000000" w:rsidRDefault="00000000" w:rsidRPr="00000000" w14:paraId="00000022">
      <w:pPr>
        <w:spacing w:after="0" w:before="120" w:line="240" w:lineRule="auto"/>
        <w:rPr>
          <w:color w:val="ff0000"/>
        </w:rPr>
      </w:pPr>
      <w:r w:rsidDel="00000000" w:rsidR="00000000" w:rsidRPr="00000000">
        <w:rPr>
          <w:rtl w:val="0"/>
        </w:rPr>
        <w:t xml:space="preserve">Pour en savoir plus : </w:t>
      </w:r>
      <w:hyperlink r:id="rId15">
        <w:r w:rsidDel="00000000" w:rsidR="00000000" w:rsidRPr="00000000">
          <w:rPr>
            <w:color w:val="0563c1"/>
            <w:u w:val="single"/>
            <w:rtl w:val="0"/>
          </w:rPr>
          <w:t xml:space="preserve">Évaluation rapide des marchés : Lignes directrices</w:t>
        </w:r>
      </w:hyperlink>
      <w:r w:rsidDel="00000000" w:rsidR="00000000" w:rsidRPr="00000000">
        <w:rPr>
          <w:rtl w:val="0"/>
        </w:rPr>
      </w:r>
    </w:p>
    <w:p w:rsidR="00000000" w:rsidDel="00000000" w:rsidP="00000000" w:rsidRDefault="00000000" w:rsidRPr="00000000" w14:paraId="00000023">
      <w:pPr>
        <w:spacing w:after="0" w:before="120" w:line="240" w:lineRule="auto"/>
        <w:rPr>
          <w:b w:val="1"/>
        </w:rPr>
      </w:pPr>
      <w:r w:rsidDel="00000000" w:rsidR="00000000" w:rsidRPr="00000000">
        <w:rPr>
          <w:b w:val="1"/>
          <w:rtl w:val="0"/>
        </w:rPr>
        <w:t xml:space="preserve">Conseils :</w:t>
      </w:r>
    </w:p>
    <w:p w:rsidR="00000000" w:rsidDel="00000000" w:rsidP="00000000" w:rsidRDefault="00000000" w:rsidRPr="00000000" w14:paraId="00000024">
      <w:pPr>
        <w:numPr>
          <w:ilvl w:val="0"/>
          <w:numId w:val="2"/>
        </w:numPr>
        <w:spacing w:after="0" w:before="0" w:line="240" w:lineRule="auto"/>
        <w:ind w:left="720" w:hanging="360"/>
        <w:jc w:val="left"/>
        <w:rPr/>
      </w:pPr>
      <w:bookmarkStart w:colFirst="0" w:colLast="0" w:name="_heading=h.3znysh7" w:id="3"/>
      <w:bookmarkEnd w:id="3"/>
      <w:r w:rsidDel="00000000" w:rsidR="00000000" w:rsidRPr="00000000">
        <w:rPr>
          <w:rtl w:val="0"/>
        </w:rPr>
        <w:t xml:space="preserve">Réfléchissez au meilleur moment pour la marche, selon votre objectif. Si vous souhaitez observer les activités de subsistance, choisissez une heure de la journée de travail typique. Sinon, d’autres moments de la journée, en fin de semaine ou pendant une journée de congé.</w:t>
      </w:r>
    </w:p>
    <w:p w:rsidR="00000000" w:rsidDel="00000000" w:rsidP="00000000" w:rsidRDefault="00000000" w:rsidRPr="00000000" w14:paraId="00000025">
      <w:pPr>
        <w:numPr>
          <w:ilvl w:val="0"/>
          <w:numId w:val="2"/>
        </w:numPr>
        <w:spacing w:after="0" w:before="0" w:line="240" w:lineRule="auto"/>
        <w:ind w:left="720" w:hanging="360"/>
        <w:jc w:val="left"/>
        <w:rPr/>
      </w:pPr>
      <w:r w:rsidDel="00000000" w:rsidR="00000000" w:rsidRPr="00000000">
        <w:rPr>
          <w:rtl w:val="0"/>
        </w:rPr>
        <w:t xml:space="preserve">Soyez toujours accompagné par un représentant local impartial qui peut vous guider et vous aider à obtenir des compléments d’information en cas de doute.</w:t>
      </w:r>
    </w:p>
    <w:p w:rsidR="00000000" w:rsidDel="00000000" w:rsidP="00000000" w:rsidRDefault="00000000" w:rsidRPr="00000000" w14:paraId="00000026">
      <w:pPr>
        <w:numPr>
          <w:ilvl w:val="0"/>
          <w:numId w:val="2"/>
        </w:numPr>
        <w:spacing w:after="0" w:before="0" w:line="240" w:lineRule="auto"/>
        <w:ind w:left="720" w:hanging="360"/>
        <w:jc w:val="left"/>
        <w:rPr/>
      </w:pPr>
      <w:r w:rsidDel="00000000" w:rsidR="00000000" w:rsidRPr="00000000">
        <w:rPr>
          <w:rtl w:val="0"/>
        </w:rPr>
        <w:t xml:space="preserve">Effectuez la marche en compagnie d’une équipe représentative de chaque groupe de moyens de subsistance ou optez pour plusieurs marches couvrant chacune un type de moyens de subsistance (agriculteurs, gardiens de troupeau, petits entrepreneurs, etc.) ; les individus concernés pourraient essayer d’attirer votre attention sur des enjeux et des difficultés différents.</w:t>
      </w:r>
    </w:p>
    <w:p w:rsidR="00000000" w:rsidDel="00000000" w:rsidP="00000000" w:rsidRDefault="00000000" w:rsidRPr="00000000" w14:paraId="00000027">
      <w:pPr>
        <w:numPr>
          <w:ilvl w:val="0"/>
          <w:numId w:val="2"/>
        </w:numPr>
        <w:spacing w:after="0" w:before="0" w:line="240" w:lineRule="auto"/>
        <w:ind w:left="720" w:hanging="360"/>
        <w:jc w:val="left"/>
        <w:rPr/>
      </w:pPr>
      <w:r w:rsidDel="00000000" w:rsidR="00000000" w:rsidRPr="00000000">
        <w:rPr>
          <w:rtl w:val="0"/>
        </w:rPr>
        <w:t xml:space="preserve">Les photos et les vidéos sont un moyen de vérification, utilisez-les autant que possible.</w:t>
      </w:r>
    </w:p>
    <w:p w:rsidR="00000000" w:rsidDel="00000000" w:rsidP="00000000" w:rsidRDefault="00000000" w:rsidRPr="00000000" w14:paraId="00000028">
      <w:pPr>
        <w:rPr>
          <w:i w:val="1"/>
          <w:color w:val="000000"/>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wp:posOffset>
                </wp:positionH>
                <wp:positionV relativeFrom="paragraph">
                  <wp:posOffset>180975</wp:posOffset>
                </wp:positionV>
                <wp:extent cx="5848350" cy="457200"/>
                <wp:effectExtent b="0" l="0" r="0" t="0"/>
                <wp:wrapNone/>
                <wp:docPr id="21" name=""/>
                <a:graphic>
                  <a:graphicData uri="http://schemas.microsoft.com/office/word/2010/wordprocessingShape">
                    <wps:wsp>
                      <wps:cNvSpPr/>
                      <wps:cNvPr id="3" name="Shape 3"/>
                      <wps:spPr>
                        <a:xfrm>
                          <a:off x="2488500" y="3560291"/>
                          <a:ext cx="5715000" cy="439419"/>
                        </a:xfrm>
                        <a:custGeom>
                          <a:rect b="b" l="l" r="r" t="t"/>
                          <a:pathLst>
                            <a:path extrusionOk="0" h="439419" w="5715000">
                              <a:moveTo>
                                <a:pt x="0" y="0"/>
                              </a:moveTo>
                              <a:lnTo>
                                <a:pt x="0" y="439419"/>
                              </a:lnTo>
                              <a:lnTo>
                                <a:pt x="5715000" y="439419"/>
                              </a:lnTo>
                              <a:lnTo>
                                <a:pt x="571500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0"/>
                              <w:jc w:val="both"/>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wp:posOffset>
                </wp:positionH>
                <wp:positionV relativeFrom="paragraph">
                  <wp:posOffset>180975</wp:posOffset>
                </wp:positionV>
                <wp:extent cx="5848350" cy="457200"/>
                <wp:effectExtent b="0" l="0" r="0" t="0"/>
                <wp:wrapNone/>
                <wp:docPr id="21"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5848350" cy="4572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-30479</wp:posOffset>
            </wp:positionH>
            <wp:positionV relativeFrom="paragraph">
              <wp:posOffset>174218</wp:posOffset>
            </wp:positionV>
            <wp:extent cx="487680" cy="487680"/>
            <wp:effectExtent b="0" l="0" r="0" t="0"/>
            <wp:wrapNone/>
            <wp:docPr id="27" name="image4.png"/>
            <a:graphic>
              <a:graphicData uri="http://schemas.openxmlformats.org/drawingml/2006/picture">
                <pic:pic>
                  <pic:nvPicPr>
                    <pic:cNvPr id="0" name="image4.png"/>
                    <pic:cNvPicPr preferRelativeResize="0"/>
                  </pic:nvPicPr>
                  <pic:blipFill>
                    <a:blip r:embed="rId17"/>
                    <a:srcRect b="0" l="0" r="0" t="0"/>
                    <a:stretch>
                      <a:fillRect/>
                    </a:stretch>
                  </pic:blipFill>
                  <pic:spPr>
                    <a:xfrm>
                      <a:off x="0" y="0"/>
                      <a:ext cx="487680" cy="487680"/>
                    </a:xfrm>
                    <a:prstGeom prst="rect"/>
                    <a:ln/>
                  </pic:spPr>
                </pic:pic>
              </a:graphicData>
            </a:graphic>
          </wp:anchor>
        </w:drawing>
      </w:r>
    </w:p>
    <w:p w:rsidR="00000000" w:rsidDel="00000000" w:rsidP="00000000" w:rsidRDefault="00000000" w:rsidRPr="00000000" w14:paraId="00000029">
      <w:pPr>
        <w:pStyle w:val="Heading2"/>
        <w:rPr/>
      </w:pPr>
      <w:r w:rsidDel="00000000" w:rsidR="00000000" w:rsidRPr="00000000">
        <w:rPr>
          <w:rtl w:val="0"/>
        </w:rPr>
        <w:tab/>
        <w:t xml:space="preserve">Santé</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Les marches transversales peuvent être utilisées pour compléter ou vérifier les informations de la cartographie (voir ci-dessus) - elles peuvent comprendre des observations des installations WASH, des pratiques d'hygiène au niveau des ménages, des écoles, de l'accès pour les personnes handicapées, des installations sanitaires, etc. ou des discussions avec les membres de la communauté et les informateurs clés sur les aléas spécifiques observés.</w:t>
      </w:r>
    </w:p>
    <w:p w:rsidR="00000000" w:rsidDel="00000000" w:rsidP="00000000" w:rsidRDefault="00000000" w:rsidRPr="00000000" w14:paraId="0000002C">
      <w:pPr>
        <w:rPr/>
      </w:pPr>
      <w:r w:rsidDel="00000000" w:rsidR="00000000" w:rsidRPr="00000000">
        <w:rPr>
          <w:rtl w:val="0"/>
        </w:rPr>
        <w:t xml:space="preserve">Pour intégrer l'épidémie dans la marche transversale, il est essentiel de comprendre d'abord la voie de transmission de la maladie étudiée. Pour ce faire, il faut d'abord consulter la fiche d'information communautaire afin d'identifier la maladie potentielle, puis analyser et comprendre la voie de transmission. Cette fiche peut être consultée sur le site web de la boîte à outils de lutte contre les épidémies. L'équipe eVCA doit comprendre au moins un membre ayant une expérience dans le domaine de la santé, afin de l'aider à comprendre et à identifier les éléments à prendre en compte. Lorsque la route de transmission est bien comprise, la marche transversale peut être bien planifiée.</w:t>
      </w:r>
    </w:p>
    <w:p w:rsidR="00000000" w:rsidDel="00000000" w:rsidP="00000000" w:rsidRDefault="00000000" w:rsidRPr="00000000" w14:paraId="0000002D">
      <w:pPr>
        <w:rPr/>
      </w:pPr>
      <w:r w:rsidDel="00000000" w:rsidR="00000000" w:rsidRPr="00000000">
        <w:rPr>
          <w:rtl w:val="0"/>
        </w:rPr>
        <w:t xml:space="preserve">Par exemple, la marche transversale est un outil de collecte de données utile pour évaluer l'exposition au choléra. Vous devez savoir que le choléra est une maladie oro-fécale. Une personne peut contracter le choléra en buvant de l'eau ou en mangeant des aliments contaminés par les bactéries du choléra. En cas d'épidémie, la source de contamination est généralement les matières fécales d'une personne infectée qui contaminent l'eau ou la nourriture. Vous devez donc planifier votre marche en transversales pour observer :</w:t>
      </w:r>
    </w:p>
    <w:p w:rsidR="00000000" w:rsidDel="00000000" w:rsidP="00000000" w:rsidRDefault="00000000" w:rsidRPr="00000000" w14:paraId="0000002E">
      <w:pPr>
        <w:rPr/>
      </w:pPr>
      <w:r w:rsidDel="00000000" w:rsidR="00000000" w:rsidRPr="00000000">
        <w:rPr>
          <w:rtl w:val="0"/>
        </w:rPr>
        <w:t xml:space="preserve">•</w:t>
        <w:tab/>
        <w:t xml:space="preserve">Sites de défécation en plein air et latrines non fonctionnelles.</w:t>
      </w:r>
    </w:p>
    <w:p w:rsidR="00000000" w:rsidDel="00000000" w:rsidP="00000000" w:rsidRDefault="00000000" w:rsidRPr="00000000" w14:paraId="0000002F">
      <w:pPr>
        <w:rPr/>
      </w:pPr>
      <w:r w:rsidDel="00000000" w:rsidR="00000000" w:rsidRPr="00000000">
        <w:rPr>
          <w:rtl w:val="0"/>
        </w:rPr>
        <w:t xml:space="preserve">•</w:t>
        <w:tab/>
        <w:t xml:space="preserve">Les sources d'eau à proximité de ces sites contaminés.</w:t>
      </w:r>
    </w:p>
    <w:p w:rsidR="00000000" w:rsidDel="00000000" w:rsidP="00000000" w:rsidRDefault="00000000" w:rsidRPr="00000000" w14:paraId="00000030">
      <w:pPr>
        <w:rPr/>
      </w:pPr>
      <w:r w:rsidDel="00000000" w:rsidR="00000000" w:rsidRPr="00000000">
        <w:rPr>
          <w:rtl w:val="0"/>
        </w:rPr>
        <w:t xml:space="preserve">•</w:t>
        <w:tab/>
        <w:t xml:space="preserve">Mesurer la distance entre les sources d'eau et les latrines non fonctionnelles qui présentent un risque élevé de fuite de matières fécales contaminées.</w:t>
      </w:r>
    </w:p>
    <w:p w:rsidR="00000000" w:rsidDel="00000000" w:rsidP="00000000" w:rsidRDefault="00000000" w:rsidRPr="00000000" w14:paraId="00000031">
      <w:pPr>
        <w:rPr/>
      </w:pPr>
      <w:r w:rsidDel="00000000" w:rsidR="00000000" w:rsidRPr="00000000">
        <w:rPr>
          <w:rtl w:val="0"/>
        </w:rPr>
        <w:t xml:space="preserve">•</w:t>
        <w:tab/>
        <w:t xml:space="preserve">Observer les latrines des ménages et leur état d'hygiène. </w:t>
      </w:r>
    </w:p>
    <w:p w:rsidR="00000000" w:rsidDel="00000000" w:rsidP="00000000" w:rsidRDefault="00000000" w:rsidRPr="00000000" w14:paraId="00000032">
      <w:pPr>
        <w:rPr/>
      </w:pPr>
      <w:r w:rsidDel="00000000" w:rsidR="00000000" w:rsidRPr="00000000">
        <w:rPr>
          <w:rtl w:val="0"/>
        </w:rPr>
        <w:t xml:space="preserve">•</w:t>
        <w:tab/>
        <w:t xml:space="preserve">Vérifier combien de latrines disposent d'un poste de lavage des mains à proximité, avec des signes d'utilisation.</w:t>
      </w:r>
    </w:p>
    <w:p w:rsidR="00000000" w:rsidDel="00000000" w:rsidP="00000000" w:rsidRDefault="00000000" w:rsidRPr="00000000" w14:paraId="00000033">
      <w:pPr>
        <w:rPr/>
      </w:pPr>
      <w:r w:rsidDel="00000000" w:rsidR="00000000" w:rsidRPr="00000000">
        <w:rPr>
          <w:rtl w:val="0"/>
        </w:rPr>
        <w:t xml:space="preserve">•</w:t>
        <w:tab/>
        <w:t xml:space="preserve">Visitez le marché local et vérifiez si les vendeurs ambulants proposent des aliments dans des conditions hygiéniques. </w:t>
      </w:r>
    </w:p>
    <w:p w:rsidR="00000000" w:rsidDel="00000000" w:rsidP="00000000" w:rsidRDefault="00000000" w:rsidRPr="00000000" w14:paraId="00000034">
      <w:pPr>
        <w:rPr/>
      </w:pPr>
      <w:r w:rsidDel="00000000" w:rsidR="00000000" w:rsidRPr="00000000">
        <w:rPr>
          <w:rtl w:val="0"/>
        </w:rPr>
        <w:t xml:space="preserve">•</w:t>
        <w:tab/>
        <w:t xml:space="preserve">Vérifier si les latrines communes situées dans des lieux publics tels que les marchés sont maintenues dans de bonnes conditions d'hygiène.</w:t>
      </w:r>
    </w:p>
    <w:p w:rsidR="00000000" w:rsidDel="00000000" w:rsidP="00000000" w:rsidRDefault="00000000" w:rsidRPr="00000000" w14:paraId="00000035">
      <w:pPr>
        <w:rPr/>
      </w:pPr>
      <w:r w:rsidDel="00000000" w:rsidR="00000000" w:rsidRPr="00000000">
        <w:rPr>
          <w:rtl w:val="0"/>
        </w:rPr>
        <w:t xml:space="preserve">Il existe un grand nombre de maladies qui, comme le choléra, ont un potentiel épidémique élevé et dont l'exposition est fortement liée au niveau d'accès à l'eau potable et à l'assainissement dans la communauté. C'est le cas de l'hépatite A, de la fièvre typhoïde, de la diarrhée aqueuse aiguë, de la rougeole, etc.</w:t>
      </w:r>
    </w:p>
    <w:p w:rsidR="00000000" w:rsidDel="00000000" w:rsidP="00000000" w:rsidRDefault="00000000" w:rsidRPr="00000000" w14:paraId="00000036">
      <w:pPr>
        <w:rPr/>
      </w:pPr>
      <w:r w:rsidDel="00000000" w:rsidR="00000000" w:rsidRPr="00000000">
        <w:rPr>
          <w:rtl w:val="0"/>
        </w:rPr>
        <w:t xml:space="preserve">La marche transversale est également très utile pour les maladies transmises par un vecteur animal. Par exemple, dans les communautés qui ont été confrontées à des épidémies de dengue dans le passé, il est recommandé de planifier une marche transversale pour observer les masses d'eau (eau propre ou boueuse, stagnante ou non) où le moustique Aedes peut facilement se reproduire et les quartiers mal logés où les gens sont plus exposés aux piqûres de moustiques. </w:t>
      </w:r>
    </w:p>
    <w:p w:rsidR="00000000" w:rsidDel="00000000" w:rsidP="00000000" w:rsidRDefault="00000000" w:rsidRPr="00000000" w14:paraId="00000037">
      <w:pPr>
        <w:rPr/>
      </w:pPr>
      <w:r w:rsidDel="00000000" w:rsidR="00000000" w:rsidRPr="00000000">
        <w:rPr>
          <w:rtl w:val="0"/>
        </w:rPr>
        <w:t xml:space="preserve">Certaines maladies émergentes transmises par les animaux, moins connues que la dengue ou le paludisme, comme la fièvre de la vallée du Rift, dont le risque épidémique augmente, peuvent être bien évaluées grâce à des marches transversales. Dans ce cas, planifiez votre marche pour observer si le bétail (buffles, moutons, chèvres et chameaux) est maintenu en contact plus étroit avec les humains. Pour les communautés situées dans des zones sujettes à la maladie d'Ebola, vous pouvez vous promener dans la forêt voisine afin d'observer les zones où l'homme peut entrer en contact avec des animaux sauvages ou des cadavres d'animaux sauvages. Vous pouvez vous rendre au marché local pour observer la viande d'animaux sauvages disponible à la vente.  </w:t>
      </w:r>
    </w:p>
    <w:p w:rsidR="00000000" w:rsidDel="00000000" w:rsidP="00000000" w:rsidRDefault="00000000" w:rsidRPr="00000000" w14:paraId="00000038">
      <w:pPr>
        <w:rPr/>
      </w:pPr>
      <w:r w:rsidDel="00000000" w:rsidR="00000000" w:rsidRPr="00000000">
        <w:rPr>
          <w:rtl w:val="0"/>
        </w:rPr>
        <w:t xml:space="preserve">Les facteurs qui augmentent la vulnérabilité de la communauté face aux risques sanitaires peuvent être observés au cours de la marche transversale. Par exemple, pour les régions sujettes au choléra, vous pouvez planifier une marche transversale dans un quartier très pauvre où vous pourrez vérifier si les familles n'ont pas d'abri approprié, si elles vivent dans des espaces surpeuplés, si elles ont de mauvaises conditions d'hygiène et si elles n'ont pas de produits tels qu'une moustiquaire imprégnée d'insecticide, de l'eau salubre, des toilettes hygiéniques et du savon. </w:t>
      </w:r>
    </w:p>
    <w:p w:rsidR="00000000" w:rsidDel="00000000" w:rsidP="00000000" w:rsidRDefault="00000000" w:rsidRPr="00000000" w14:paraId="00000039">
      <w:pPr>
        <w:rPr/>
      </w:pPr>
      <w:r w:rsidDel="00000000" w:rsidR="00000000" w:rsidRPr="00000000">
        <w:rPr>
          <w:rtl w:val="0"/>
        </w:rPr>
        <w:t xml:space="preserve">La marche transversale est également très utile pour vérifier les capacités locales qui permettent aux communautés de gérer les risques d'épidémies :</w:t>
      </w:r>
    </w:p>
    <w:p w:rsidR="00000000" w:rsidDel="00000000" w:rsidP="00000000" w:rsidRDefault="00000000" w:rsidRPr="00000000" w14:paraId="0000003A">
      <w:pPr>
        <w:rPr/>
      </w:pPr>
      <w:r w:rsidDel="00000000" w:rsidR="00000000" w:rsidRPr="00000000">
        <w:rPr>
          <w:rtl w:val="0"/>
        </w:rPr>
        <w:t xml:space="preserve">•</w:t>
        <w:tab/>
        <w:t xml:space="preserve">Marchez jusqu'à l'établissement de santé le plus proche (clinique, hôpital, pharmacie locale ou poste de secours) pour vérifier la distance et l'accessibilité. Sur place, vérifiez la présence d'un personnel qualifié et d'un équipement médical adéquat. </w:t>
      </w:r>
    </w:p>
    <w:p w:rsidR="00000000" w:rsidDel="00000000" w:rsidP="00000000" w:rsidRDefault="00000000" w:rsidRPr="00000000" w14:paraId="0000003B">
      <w:pPr>
        <w:rPr/>
      </w:pPr>
      <w:r w:rsidDel="00000000" w:rsidR="00000000" w:rsidRPr="00000000">
        <w:rPr>
          <w:rtl w:val="0"/>
        </w:rPr>
        <w:t xml:space="preserve">•</w:t>
        <w:tab/>
        <w:t xml:space="preserve">Se rendre sur les sites/lieux où des informations sur la santé sont communiquées (églises, ONG locales, antenne de la Croix-Rouge) et observer les supports de communication disponibles, afin de vérifier s'ils sont faciles à comprendre par tous les membres de la communauté.</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sectPr>
      <w:headerReference r:id="rId18" w:type="default"/>
      <w:headerReference r:id="rId19" w:type="first"/>
      <w:headerReference r:id="rId20" w:type="even"/>
      <w:footerReference r:id="rId21" w:type="default"/>
      <w:footerReference r:id="rId22" w:type="first"/>
      <w:footerReference r:id="rId23"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hyperlink r:id="rId1">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L’évaluation de la vulnérabilité et des capacités (EVC) sensible au genre et à la diversité.</w:t>
        </w:r>
      </w:hyperlink>
      <w:hyperlink r:id="rId2">
        <w:r w:rsidDel="00000000" w:rsidR="00000000" w:rsidRPr="00000000">
          <w:rPr>
            <w:rFonts w:ascii="Calibri" w:cs="Calibri" w:eastAsia="Calibri" w:hAnsi="Calibri"/>
            <w:b w:val="0"/>
            <w:i w:val="0"/>
            <w:smallCaps w:val="0"/>
            <w:strike w:val="0"/>
            <w:color w:val="0563c1"/>
            <w:sz w:val="20"/>
            <w:szCs w:val="20"/>
            <w:u w:val="none"/>
            <w:vertAlign w:val="baseline"/>
            <w:rtl w:val="0"/>
          </w:rPr>
          <w:t xml:space="preserve"> </w:t>
        </w:r>
      </w:hyperlink>
      <w:hyperlink r:id="rId3">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FICR.</w:t>
        </w:r>
      </w:hyperlink>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(en anglais)</w:t>
      </w:r>
      <w:r w:rsidDel="00000000" w:rsidR="00000000" w:rsidRPr="00000000">
        <w:rPr>
          <w:rtl w:val="0"/>
        </w:rPr>
      </w:r>
    </w:p>
  </w:footnote>
  <w:footnote w:id="1">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single"/>
          <w:vertAlign w:val="baseline"/>
          <w:rtl w:val="0"/>
        </w:rPr>
        <w:t xml:space="preserve"> </w:t>
      </w:r>
      <w:hyperlink r:id="rId4">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Centre Climat Croix-Rouge Croissant-Rouge.</w:t>
        </w:r>
      </w:hyperlink>
      <w:hyperlink r:id="rId5">
        <w:r w:rsidDel="00000000" w:rsidR="00000000" w:rsidRPr="00000000">
          <w:rPr>
            <w:rFonts w:ascii="Calibri" w:cs="Calibri" w:eastAsia="Calibri" w:hAnsi="Calibri"/>
            <w:b w:val="0"/>
            <w:i w:val="0"/>
            <w:smallCaps w:val="0"/>
            <w:strike w:val="0"/>
            <w:color w:val="0563c1"/>
            <w:sz w:val="20"/>
            <w:szCs w:val="20"/>
            <w:u w:val="none"/>
            <w:vertAlign w:val="baseline"/>
            <w:rtl w:val="0"/>
          </w:rPr>
          <w:t xml:space="preserve"> </w:t>
        </w:r>
      </w:hyperlink>
      <w:hyperlink r:id="rId6">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 Comment prendre le changement climatique en compte dans les évaluations de la vulnérabilité et des capacités ? » 2012.</w:t>
        </w:r>
      </w:hyperlink>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(en anglais)</w:t>
      </w:r>
      <w:r w:rsidDel="00000000" w:rsidR="00000000" w:rsidRPr="00000000">
        <w:rPr>
          <w:rtl w:val="0"/>
        </w:rPr>
      </w:r>
    </w:p>
  </w:footnote>
  <w:footnote w:id="2">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Humain, naturel, social, physique et financier</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marche transversale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20" name=""/>
              <a:graphic>
                <a:graphicData uri="http://schemas.microsoft.com/office/word/2010/wordprocessingShape">
                  <wps:wsp>
                    <wps:cNvSpPr/>
                    <wps:cNvPr id="2" name="Shape 2"/>
                    <wps:spPr>
                      <a:xfrm>
                        <a:off x="5292661" y="3679035"/>
                        <a:ext cx="106679" cy="201930"/>
                      </a:xfrm>
                      <a:prstGeom prst="rect">
                        <a:avLst/>
                      </a:prstGeom>
                      <a:solidFill>
                        <a:srgbClr val="00A0DC"/>
                      </a:solidFill>
                      <a:ln cap="flat" cmpd="sng" w="12700">
                        <a:solidFill>
                          <a:srgbClr val="00A0DC"/>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5892800</wp:posOffset>
              </wp:positionH>
              <wp:positionV relativeFrom="paragraph">
                <wp:posOffset>0</wp:posOffset>
              </wp:positionV>
              <wp:extent cx="119379" cy="214630"/>
              <wp:effectExtent b="0" l="0" r="0" t="0"/>
              <wp:wrapNone/>
              <wp:docPr id="2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119379" cy="214630"/>
                      </a:xfrm>
                      <a:prstGeom prst="rect"/>
                      <a:ln/>
                    </pic:spPr>
                  </pic:pic>
                </a:graphicData>
              </a:graphic>
            </wp:anchor>
          </w:drawing>
        </mc:Fallback>
      </mc:AlternateConten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fr"/>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07B6E"/>
    <w:pPr>
      <w:jc w:val="both"/>
    </w:pPr>
    <w:rPr>
      <w:sz w:val="24"/>
      <w:lang w:val="en-US"/>
    </w:rPr>
  </w:style>
  <w:style w:type="paragraph" w:styleId="Heading1">
    <w:name w:val="heading 1"/>
    <w:basedOn w:val="Normal"/>
    <w:next w:val="Normal"/>
    <w:link w:val="Heading1Char"/>
    <w:uiPriority w:val="9"/>
    <w:qFormat w:val="1"/>
    <w:rsid w:val="006B2C92"/>
    <w:pPr>
      <w:keepNext w:val="1"/>
      <w:keepLines w:val="1"/>
      <w:spacing w:after="0" w:before="240" w:line="240" w:lineRule="auto"/>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6B2C92"/>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B2C92"/>
    <w:rPr>
      <w:rFonts w:asciiTheme="majorHAnsi" w:cstheme="majorBidi" w:eastAsiaTheme="majorEastAsia" w:hAnsiTheme="majorHAnsi"/>
      <w:color w:val="2f5496" w:themeColor="accent1" w:themeShade="0000BF"/>
      <w:sz w:val="32"/>
      <w:szCs w:val="32"/>
      <w:lang w:val="en-US"/>
    </w:rPr>
  </w:style>
  <w:style w:type="character" w:styleId="Heading2Char" w:customStyle="1">
    <w:name w:val="Heading 2 Char"/>
    <w:basedOn w:val="DefaultParagraphFont"/>
    <w:link w:val="Heading2"/>
    <w:uiPriority w:val="9"/>
    <w:rsid w:val="006B2C92"/>
    <w:rPr>
      <w:rFonts w:asciiTheme="majorHAnsi" w:cstheme="majorBidi" w:eastAsiaTheme="majorEastAsia" w:hAnsiTheme="majorHAnsi"/>
      <w:color w:val="2f5496" w:themeColor="accent1" w:themeShade="0000BF"/>
      <w:sz w:val="26"/>
      <w:szCs w:val="26"/>
    </w:rPr>
  </w:style>
  <w:style w:type="paragraph" w:styleId="ListParagraph">
    <w:name w:val="List Paragraph"/>
    <w:basedOn w:val="Normal"/>
    <w:uiPriority w:val="34"/>
    <w:qFormat w:val="1"/>
    <w:rsid w:val="006B2C92"/>
    <w:pPr>
      <w:spacing w:after="80" w:line="240" w:lineRule="auto"/>
      <w:ind w:left="720"/>
      <w:contextualSpacing w:val="1"/>
    </w:pPr>
    <w:rPr>
      <w:rFonts w:eastAsiaTheme="minorEastAsia"/>
      <w:lang w:eastAsia="en-GB"/>
    </w:rPr>
  </w:style>
  <w:style w:type="paragraph" w:styleId="Footer">
    <w:name w:val="footer"/>
    <w:basedOn w:val="Normal"/>
    <w:link w:val="FooterChar"/>
    <w:uiPriority w:val="99"/>
    <w:unhideWhenUsed w:val="1"/>
    <w:rsid w:val="006B2C92"/>
    <w:pPr>
      <w:tabs>
        <w:tab w:val="center" w:pos="4513"/>
        <w:tab w:val="right" w:pos="9026"/>
      </w:tabs>
      <w:spacing w:after="0" w:line="240" w:lineRule="auto"/>
    </w:pPr>
    <w:rPr>
      <w:rFonts w:ascii="Arial" w:cs="Times New Roman" w:eastAsia="Cambria" w:hAnsi="Arial"/>
      <w:szCs w:val="24"/>
    </w:rPr>
  </w:style>
  <w:style w:type="character" w:styleId="FooterChar" w:customStyle="1">
    <w:name w:val="Footer Char"/>
    <w:basedOn w:val="DefaultParagraphFont"/>
    <w:link w:val="Footer"/>
    <w:uiPriority w:val="99"/>
    <w:rsid w:val="006B2C92"/>
    <w:rPr>
      <w:rFonts w:ascii="Arial" w:cs="Times New Roman" w:eastAsia="Cambria" w:hAnsi="Arial"/>
      <w:szCs w:val="24"/>
      <w:lang w:val="en-US"/>
    </w:rPr>
  </w:style>
  <w:style w:type="paragraph" w:styleId="Header">
    <w:name w:val="header"/>
    <w:basedOn w:val="Normal"/>
    <w:link w:val="HeaderChar"/>
    <w:uiPriority w:val="99"/>
    <w:unhideWhenUsed w:val="1"/>
    <w:rsid w:val="006B2C92"/>
    <w:pPr>
      <w:tabs>
        <w:tab w:val="center" w:pos="4513"/>
        <w:tab w:val="right" w:pos="9026"/>
      </w:tabs>
      <w:spacing w:after="0" w:line="240" w:lineRule="auto"/>
    </w:pPr>
  </w:style>
  <w:style w:type="character" w:styleId="HeaderChar" w:customStyle="1">
    <w:name w:val="Header Char"/>
    <w:basedOn w:val="DefaultParagraphFont"/>
    <w:link w:val="Header"/>
    <w:uiPriority w:val="99"/>
    <w:rsid w:val="006B2C92"/>
  </w:style>
  <w:style w:type="paragraph" w:styleId="BalloonText">
    <w:name w:val="Balloon Text"/>
    <w:basedOn w:val="Normal"/>
    <w:link w:val="BalloonTextChar"/>
    <w:uiPriority w:val="99"/>
    <w:semiHidden w:val="1"/>
    <w:unhideWhenUsed w:val="1"/>
    <w:rsid w:val="00BA0B1F"/>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A0B1F"/>
    <w:rPr>
      <w:rFonts w:ascii="Segoe UI" w:cs="Segoe UI" w:hAnsi="Segoe UI"/>
      <w:sz w:val="18"/>
      <w:szCs w:val="18"/>
    </w:rPr>
  </w:style>
  <w:style w:type="paragraph" w:styleId="FootnoteText">
    <w:name w:val="footnote text"/>
    <w:basedOn w:val="Normal"/>
    <w:link w:val="FootnoteTextChar"/>
    <w:uiPriority w:val="99"/>
    <w:unhideWhenUsed w:val="1"/>
    <w:rsid w:val="00BA0B1F"/>
    <w:pPr>
      <w:spacing w:after="0" w:line="240" w:lineRule="auto"/>
    </w:pPr>
    <w:rPr>
      <w:sz w:val="20"/>
      <w:szCs w:val="20"/>
    </w:rPr>
  </w:style>
  <w:style w:type="character" w:styleId="FootnoteTextChar" w:customStyle="1">
    <w:name w:val="Footnote Text Char"/>
    <w:basedOn w:val="DefaultParagraphFont"/>
    <w:link w:val="FootnoteText"/>
    <w:uiPriority w:val="99"/>
    <w:rsid w:val="00BA0B1F"/>
    <w:rPr>
      <w:sz w:val="20"/>
      <w:szCs w:val="20"/>
    </w:rPr>
  </w:style>
  <w:style w:type="character" w:styleId="FootnoteReference">
    <w:name w:val="footnote reference"/>
    <w:basedOn w:val="DefaultParagraphFont"/>
    <w:uiPriority w:val="99"/>
    <w:semiHidden w:val="1"/>
    <w:unhideWhenUsed w:val="1"/>
    <w:rsid w:val="00BA0B1F"/>
    <w:rPr>
      <w:vertAlign w:val="superscript"/>
    </w:rPr>
  </w:style>
  <w:style w:type="character" w:styleId="Hyperlink">
    <w:name w:val="Hyperlink"/>
    <w:basedOn w:val="DefaultParagraphFont"/>
    <w:uiPriority w:val="99"/>
    <w:unhideWhenUsed w:val="1"/>
    <w:rsid w:val="00077224"/>
    <w:rPr>
      <w:color w:val="0563c1" w:themeColor="hyperlink"/>
      <w:u w:val="single"/>
    </w:rPr>
  </w:style>
  <w:style w:type="character" w:styleId="UnresolvedMention" w:customStyle="1">
    <w:name w:val="Unresolved Mention"/>
    <w:basedOn w:val="DefaultParagraphFont"/>
    <w:uiPriority w:val="99"/>
    <w:semiHidden w:val="1"/>
    <w:unhideWhenUsed w:val="1"/>
    <w:rsid w:val="00077224"/>
    <w:rPr>
      <w:color w:val="808080"/>
      <w:shd w:color="auto" w:fill="e6e6e6" w:val="clear"/>
    </w:rPr>
  </w:style>
  <w:style w:type="paragraph" w:styleId="Caption">
    <w:name w:val="caption"/>
    <w:basedOn w:val="Normal"/>
    <w:next w:val="Normal"/>
    <w:uiPriority w:val="35"/>
    <w:unhideWhenUsed w:val="1"/>
    <w:qFormat w:val="1"/>
    <w:rsid w:val="005F31CC"/>
    <w:pPr>
      <w:spacing w:after="200" w:line="240" w:lineRule="auto"/>
    </w:pPr>
    <w:rPr>
      <w:i w:val="1"/>
      <w:iCs w:val="1"/>
      <w:color w:val="44546a" w:themeColor="text2"/>
      <w:sz w:val="18"/>
      <w:szCs w:val="18"/>
    </w:rPr>
  </w:style>
  <w:style w:type="character" w:styleId="CommentReference">
    <w:name w:val="annotation reference"/>
    <w:basedOn w:val="DefaultParagraphFont"/>
    <w:uiPriority w:val="99"/>
    <w:semiHidden w:val="1"/>
    <w:unhideWhenUsed w:val="1"/>
    <w:rsid w:val="005E5949"/>
    <w:rPr>
      <w:sz w:val="16"/>
      <w:szCs w:val="16"/>
    </w:rPr>
  </w:style>
  <w:style w:type="paragraph" w:styleId="CommentText">
    <w:name w:val="annotation text"/>
    <w:basedOn w:val="Normal"/>
    <w:link w:val="CommentTextChar"/>
    <w:uiPriority w:val="99"/>
    <w:semiHidden w:val="1"/>
    <w:unhideWhenUsed w:val="1"/>
    <w:rsid w:val="005E5949"/>
    <w:pPr>
      <w:spacing w:line="240" w:lineRule="auto"/>
    </w:pPr>
    <w:rPr>
      <w:sz w:val="20"/>
      <w:szCs w:val="20"/>
    </w:rPr>
  </w:style>
  <w:style w:type="character" w:styleId="CommentTextChar" w:customStyle="1">
    <w:name w:val="Comment Text Char"/>
    <w:basedOn w:val="DefaultParagraphFont"/>
    <w:link w:val="CommentText"/>
    <w:uiPriority w:val="99"/>
    <w:semiHidden w:val="1"/>
    <w:rsid w:val="005E5949"/>
    <w:rPr>
      <w:sz w:val="20"/>
      <w:szCs w:val="20"/>
      <w:lang w:val="en-US"/>
    </w:rPr>
  </w:style>
  <w:style w:type="paragraph" w:styleId="CommentSubject">
    <w:name w:val="annotation subject"/>
    <w:basedOn w:val="CommentText"/>
    <w:next w:val="CommentText"/>
    <w:link w:val="CommentSubjectChar"/>
    <w:uiPriority w:val="99"/>
    <w:semiHidden w:val="1"/>
    <w:unhideWhenUsed w:val="1"/>
    <w:rsid w:val="005E5949"/>
    <w:rPr>
      <w:b w:val="1"/>
      <w:bCs w:val="1"/>
    </w:rPr>
  </w:style>
  <w:style w:type="character" w:styleId="CommentSubjectChar" w:customStyle="1">
    <w:name w:val="Comment Subject Char"/>
    <w:basedOn w:val="CommentTextChar"/>
    <w:link w:val="CommentSubject"/>
    <w:uiPriority w:val="99"/>
    <w:semiHidden w:val="1"/>
    <w:rsid w:val="005E5949"/>
    <w:rPr>
      <w:b w:val="1"/>
      <w:bCs w:val="1"/>
      <w:sz w:val="20"/>
      <w:szCs w:val="20"/>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image" Target="media/image9.png"/><Relationship Id="rId22" Type="http://schemas.openxmlformats.org/officeDocument/2006/relationships/footer" Target="footer2.xml"/><Relationship Id="rId10" Type="http://schemas.openxmlformats.org/officeDocument/2006/relationships/image" Target="media/image2.png"/><Relationship Id="rId21" Type="http://schemas.openxmlformats.org/officeDocument/2006/relationships/footer" Target="footer3.xml"/><Relationship Id="rId13" Type="http://schemas.openxmlformats.org/officeDocument/2006/relationships/image" Target="media/image7.png"/><Relationship Id="rId12" Type="http://schemas.openxmlformats.org/officeDocument/2006/relationships/image" Target="media/image1.png"/><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8.png"/><Relationship Id="rId15" Type="http://schemas.openxmlformats.org/officeDocument/2006/relationships/hyperlink" Target="http://www.livelihoodscentre.org/documents/20720/100145/RCRCM+RAM_FR/7912b800-eba0-4a7d-a90e-455b8d76b158" TargetMode="External"/><Relationship Id="rId14" Type="http://schemas.openxmlformats.org/officeDocument/2006/relationships/image" Target="media/image3.png"/><Relationship Id="rId17" Type="http://schemas.openxmlformats.org/officeDocument/2006/relationships/image" Target="media/image4.png"/><Relationship Id="rId16" Type="http://schemas.openxmlformats.org/officeDocument/2006/relationships/image" Target="media/image6.png"/><Relationship Id="rId5" Type="http://schemas.openxmlformats.org/officeDocument/2006/relationships/numbering" Target="numbering.xml"/><Relationship Id="rId19" Type="http://schemas.openxmlformats.org/officeDocument/2006/relationships/header" Target="header3.xml"/><Relationship Id="rId6" Type="http://schemas.openxmlformats.org/officeDocument/2006/relationships/styles" Target="styles.xml"/><Relationship Id="rId18" Type="http://schemas.openxmlformats.org/officeDocument/2006/relationships/header" Target="header1.xml"/><Relationship Id="rId7" Type="http://schemas.openxmlformats.org/officeDocument/2006/relationships/customXml" Target="../customXML/item1.xml"/><Relationship Id="rId8" Type="http://schemas.openxmlformats.org/officeDocument/2006/relationships/hyperlink" Target="https://www.ifrcvca.org/mapp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docs.wixstatic.com/ugd/7baf5b_ece27859d67347539a37a75c700cb484.pdf" TargetMode="External"/><Relationship Id="rId2" Type="http://schemas.openxmlformats.org/officeDocument/2006/relationships/hyperlink" Target="https://docs.wixstatic.com/ugd/7baf5b_ece27859d67347539a37a75c700cb484.pdf" TargetMode="External"/><Relationship Id="rId3" Type="http://schemas.openxmlformats.org/officeDocument/2006/relationships/hyperlink" Target="https://docs.wixstatic.com/ugd/7baf5b_ece27859d67347539a37a75c700cb484.pdf" TargetMode="External"/><Relationship Id="rId4" Type="http://schemas.openxmlformats.org/officeDocument/2006/relationships/hyperlink" Target="https://docs.wixstatic.com/ugd/7baf5b_ea7bdbb5fa454ec59dc69ed30e1d3265.pdf" TargetMode="External"/><Relationship Id="rId5" Type="http://schemas.openxmlformats.org/officeDocument/2006/relationships/hyperlink" Target="https://docs.wixstatic.com/ugd/7baf5b_ea7bdbb5fa454ec59dc69ed30e1d3265.pdf" TargetMode="External"/><Relationship Id="rId6" Type="http://schemas.openxmlformats.org/officeDocument/2006/relationships/hyperlink" Target="https://docs.wixstatic.com/ugd/7baf5b_ea7bdbb5fa454ec59dc69ed30e1d326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EPH7Rfk2+5CO1uiJSP5dUYmY3w==">CgMxLjAyCGguZ2pkZ3hzMgloLjMwajB6bGwyCWguMWZvYjl0ZTIJaC4zem55c2g3OAByITFDeEVfUHRIbHA2ZHh2U3Rqc1dCdHZ5SEdrako3LW9mOA==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2018-12-07T15:31:00Z</dcterms:created>
  <dc:creator>Lucia ROBLES DIOS</dc:creator>
</cp:coreProperties>
</file>