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C3D6" w14:textId="6F1D8EAF" w:rsidR="00AA2E00" w:rsidRDefault="004D2580">
      <w:pPr>
        <w:pStyle w:val="berschrift2"/>
      </w:pPr>
      <w:r>
        <w:t>Dividers and Connectors</w:t>
      </w:r>
    </w:p>
    <w:p w14:paraId="53FEC3D7" w14:textId="3205FFF4" w:rsidR="00AA2E00" w:rsidRDefault="004D2580">
      <w:pPr>
        <w:spacing w:after="120"/>
      </w:pPr>
      <w:r>
        <w:rPr>
          <w:b/>
        </w:rPr>
        <w:t>Aim</w:t>
      </w:r>
      <w:r>
        <w:t xml:space="preserve">: To identify elements in the intervention area that bring people together across lines of conflict / tensions (connecting elements, connectors) and elements that separate people (sources of tensions, dividers) as foundation for </w:t>
      </w:r>
      <w:r w:rsidR="003346D6">
        <w:t xml:space="preserve">conflict sensitive programming, </w:t>
      </w:r>
      <w:r>
        <w:t>step 2</w:t>
      </w:r>
      <w:r w:rsidR="003346D6">
        <w:t>:</w:t>
      </w:r>
      <w:r>
        <w:t xml:space="preserve"> interaction between context and project activities</w:t>
      </w:r>
      <w:r w:rsidR="003346D6">
        <w:t>,</w:t>
      </w:r>
      <w:r>
        <w:t xml:space="preserve"> and step 3</w:t>
      </w:r>
      <w:r w:rsidR="003346D6">
        <w:t>:</w:t>
      </w:r>
      <w:r>
        <w:t xml:space="preserve"> adjustment of activities of conflict sensitive programming.</w:t>
      </w:r>
      <w:r w:rsidR="003346D6">
        <w:t xml:space="preserve"> The categories on the left side can be changed as appropriate in the given context. </w:t>
      </w:r>
      <w:r w:rsidR="00493223">
        <w:t>This overview is key to avoid unintended negative consequences of our programming.</w:t>
      </w:r>
    </w:p>
    <w:tbl>
      <w:tblPr>
        <w:tblStyle w:val="a"/>
        <w:tblW w:w="9500" w:type="dxa"/>
        <w:tblInd w:w="0" w:type="dxa"/>
        <w:tblBorders>
          <w:top w:val="single" w:sz="6" w:space="0" w:color="833C0B"/>
          <w:left w:val="single" w:sz="6" w:space="0" w:color="833C0B"/>
          <w:bottom w:val="single" w:sz="6" w:space="0" w:color="833C0B"/>
          <w:right w:val="single" w:sz="6" w:space="0" w:color="833C0B"/>
          <w:insideH w:val="single" w:sz="6" w:space="0" w:color="833C0B"/>
          <w:insideV w:val="single" w:sz="6" w:space="0" w:color="833C0B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3903"/>
        <w:gridCol w:w="3904"/>
      </w:tblGrid>
      <w:tr w:rsidR="00AA2E00" w14:paraId="53FEC3DD" w14:textId="77777777">
        <w:trPr>
          <w:trHeight w:val="172"/>
        </w:trPr>
        <w:tc>
          <w:tcPr>
            <w:tcW w:w="1693" w:type="dxa"/>
            <w:shd w:val="clear" w:color="auto" w:fill="AE0F0A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D8" w14:textId="77777777" w:rsidR="00AA2E00" w:rsidRDefault="00AA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shd w:val="clear" w:color="auto" w:fill="AE0F0A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D9" w14:textId="77777777" w:rsidR="00AA2E00" w:rsidRDefault="004D2580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Dividers</w:t>
            </w:r>
          </w:p>
          <w:p w14:paraId="53FEC3DA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Sources of tensions and fragility</w:t>
            </w:r>
          </w:p>
        </w:tc>
        <w:tc>
          <w:tcPr>
            <w:tcW w:w="3904" w:type="dxa"/>
            <w:shd w:val="clear" w:color="auto" w:fill="AE0F0A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DB" w14:textId="77777777" w:rsidR="00AA2E00" w:rsidRDefault="004D2580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Connectors</w:t>
            </w:r>
          </w:p>
          <w:p w14:paraId="53FEC3DC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Connecting elements that foster social cohesion and resilience</w:t>
            </w:r>
          </w:p>
        </w:tc>
      </w:tr>
      <w:tr w:rsidR="00AA2E00" w14:paraId="53FEC3E5" w14:textId="77777777">
        <w:trPr>
          <w:trHeight w:val="336"/>
        </w:trPr>
        <w:tc>
          <w:tcPr>
            <w:tcW w:w="1693" w:type="dxa"/>
            <w:shd w:val="clear" w:color="auto" w:fill="E3CCCC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DE" w14:textId="77777777" w:rsidR="00AA2E00" w:rsidRDefault="004D258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Key questions</w:t>
            </w:r>
          </w:p>
        </w:tc>
        <w:tc>
          <w:tcPr>
            <w:tcW w:w="3903" w:type="dxa"/>
            <w:tcBorders>
              <w:bottom w:val="single" w:sz="8" w:space="0" w:color="C00000"/>
            </w:tcBorders>
            <w:shd w:val="clear" w:color="auto" w:fill="E3CCCC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DF" w14:textId="77777777" w:rsidR="00AA2E00" w:rsidRDefault="004D2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leads to tensions in the current situation? </w:t>
            </w:r>
          </w:p>
          <w:p w14:paraId="53FEC3E0" w14:textId="77777777" w:rsidR="00AA2E00" w:rsidRDefault="004D2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divides people? </w:t>
            </w:r>
          </w:p>
          <w:p w14:paraId="53FEC3E1" w14:textId="77777777" w:rsidR="00AA2E00" w:rsidRDefault="004D2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undermines social cohesion? </w:t>
            </w:r>
          </w:p>
          <w:p w14:paraId="53FEC3E2" w14:textId="77777777" w:rsidR="00AA2E00" w:rsidRDefault="004D2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this element a divider and what impact does it have?</w:t>
            </w:r>
          </w:p>
        </w:tc>
        <w:tc>
          <w:tcPr>
            <w:tcW w:w="3904" w:type="dxa"/>
            <w:tcBorders>
              <w:bottom w:val="single" w:sz="8" w:space="0" w:color="C00000"/>
            </w:tcBorders>
            <w:shd w:val="clear" w:color="auto" w:fill="E3CCCC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3" w14:textId="77777777" w:rsidR="00AA2E00" w:rsidRDefault="004D2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brings people together? What do people do together despite tensions? </w:t>
            </w:r>
            <w:r>
              <w:rPr>
                <w:sz w:val="18"/>
                <w:szCs w:val="18"/>
              </w:rPr>
              <w:br/>
              <w:t xml:space="preserve">What helps to de-escalate tensions? </w:t>
            </w:r>
            <w:r>
              <w:rPr>
                <w:sz w:val="18"/>
                <w:szCs w:val="18"/>
              </w:rPr>
              <w:br/>
              <w:t xml:space="preserve">What builds trust and social cohesion, despite tensions? </w:t>
            </w:r>
          </w:p>
          <w:p w14:paraId="53FEC3E4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Why is this element a connector and what impact does it have?</w:t>
            </w:r>
          </w:p>
        </w:tc>
      </w:tr>
      <w:tr w:rsidR="00AA2E00" w14:paraId="53FEC3E9" w14:textId="77777777">
        <w:trPr>
          <w:trHeight w:val="336"/>
        </w:trPr>
        <w:tc>
          <w:tcPr>
            <w:tcW w:w="1693" w:type="dxa"/>
            <w:vMerge w:val="restart"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6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Systems and Institutions </w:t>
            </w: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7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8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3ED" w14:textId="77777777">
        <w:trPr>
          <w:trHeight w:val="336"/>
        </w:trPr>
        <w:tc>
          <w:tcPr>
            <w:tcW w:w="1693" w:type="dxa"/>
            <w:vMerge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A" w14:textId="77777777" w:rsidR="00AA2E00" w:rsidRDefault="00AA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B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C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3F1" w14:textId="77777777">
        <w:trPr>
          <w:trHeight w:val="314"/>
        </w:trPr>
        <w:tc>
          <w:tcPr>
            <w:tcW w:w="1693" w:type="dxa"/>
            <w:vMerge w:val="restart"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E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Attitudes and Actions</w:t>
            </w: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EF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0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3F5" w14:textId="77777777">
        <w:trPr>
          <w:trHeight w:val="314"/>
        </w:trPr>
        <w:tc>
          <w:tcPr>
            <w:tcW w:w="1693" w:type="dxa"/>
            <w:vMerge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2" w14:textId="77777777" w:rsidR="00AA2E00" w:rsidRDefault="00AA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3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4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3F9" w14:textId="77777777">
        <w:trPr>
          <w:trHeight w:val="280"/>
        </w:trPr>
        <w:tc>
          <w:tcPr>
            <w:tcW w:w="1693" w:type="dxa"/>
            <w:vMerge w:val="restart"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6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Values and Interests</w:t>
            </w: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7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8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3FD" w14:textId="77777777">
        <w:trPr>
          <w:trHeight w:val="280"/>
        </w:trPr>
        <w:tc>
          <w:tcPr>
            <w:tcW w:w="1693" w:type="dxa"/>
            <w:vMerge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A" w14:textId="77777777" w:rsidR="00AA2E00" w:rsidRDefault="00AA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B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C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401" w14:textId="77777777">
        <w:trPr>
          <w:trHeight w:val="459"/>
        </w:trPr>
        <w:tc>
          <w:tcPr>
            <w:tcW w:w="1693" w:type="dxa"/>
            <w:vMerge w:val="restart"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E" w14:textId="77777777" w:rsidR="00AA2E00" w:rsidRDefault="004D25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Experiences</w:t>
            </w: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3FF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0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405" w14:textId="77777777">
        <w:trPr>
          <w:trHeight w:val="18"/>
        </w:trPr>
        <w:tc>
          <w:tcPr>
            <w:tcW w:w="1693" w:type="dxa"/>
            <w:vMerge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2" w14:textId="77777777" w:rsidR="00AA2E00" w:rsidRDefault="00AA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3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4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409" w14:textId="77777777">
        <w:trPr>
          <w:trHeight w:val="308"/>
        </w:trPr>
        <w:tc>
          <w:tcPr>
            <w:tcW w:w="1693" w:type="dxa"/>
            <w:vMerge w:val="restart"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6" w14:textId="77777777" w:rsidR="00AA2E00" w:rsidRDefault="004D258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Symbols and Occasions</w:t>
            </w: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7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8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2E00" w14:paraId="53FEC40D" w14:textId="77777777">
        <w:trPr>
          <w:trHeight w:val="308"/>
        </w:trPr>
        <w:tc>
          <w:tcPr>
            <w:tcW w:w="1693" w:type="dxa"/>
            <w:vMerge/>
            <w:tcBorders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A" w14:textId="77777777" w:rsidR="00AA2E00" w:rsidRDefault="00AA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B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</w:tcPr>
          <w:p w14:paraId="53FEC40C" w14:textId="77777777" w:rsidR="00AA2E00" w:rsidRDefault="00AA2E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3FEC40E" w14:textId="77777777" w:rsidR="00AA2E00" w:rsidRDefault="00AA2E00">
      <w:pPr>
        <w:spacing w:after="120"/>
      </w:pPr>
    </w:p>
    <w:p w14:paraId="53FEC40F" w14:textId="77777777" w:rsidR="00AA2E00" w:rsidRDefault="00AA2E00"/>
    <w:p w14:paraId="53FEC410" w14:textId="77777777" w:rsidR="00AA2E00" w:rsidRDefault="00AA2E00"/>
    <w:sectPr w:rsidR="00AA2E00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C939851-0A20-42FE-B4DA-20C49B83ECC4}"/>
    <w:embedBold r:id="rId2" w:fontKey="{B16927B9-6BBA-4A01-A54B-790104C5F914}"/>
    <w:embedItalic r:id="rId3" w:fontKey="{3D87A09E-AAAD-4E64-AA31-3765AADE9CC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8915722-71A9-4CBA-A27D-0EC71FDD36B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00"/>
    <w:rsid w:val="000025F9"/>
    <w:rsid w:val="003346D6"/>
    <w:rsid w:val="00493223"/>
    <w:rsid w:val="004D2580"/>
    <w:rsid w:val="00A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C3D6"/>
  <w15:docId w15:val="{75DDBFF4-EFB6-42D8-9387-7C8A34EE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A6A"/>
  </w:style>
  <w:style w:type="paragraph" w:styleId="berschrift1">
    <w:name w:val="heading 1"/>
    <w:basedOn w:val="Standard"/>
    <w:next w:val="Standard"/>
    <w:link w:val="berschrift1Zchn"/>
    <w:uiPriority w:val="9"/>
    <w:qFormat/>
    <w:rsid w:val="0001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4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4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4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4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4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4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014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4A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4A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4A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4A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4A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4A6A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sid w:val="0001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4A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4A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4A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4A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4A6A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b5Mh0ePgS7r28asMRED65MAeA==">CgMxLjA4AHIhMWxYZW1xQ2hLLTl3a0RCRjNzWXNORGtXTDd2bnlkajJj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Liesa Sauerhammer</dc:creator>
  <cp:lastModifiedBy>Liesa Sauerhammer</cp:lastModifiedBy>
  <cp:revision>4</cp:revision>
  <dcterms:created xsi:type="dcterms:W3CDTF">2024-06-23T09:28:00Z</dcterms:created>
  <dcterms:modified xsi:type="dcterms:W3CDTF">2024-10-17T21:45:00Z</dcterms:modified>
</cp:coreProperties>
</file>