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38BA" w:rsidRDefault="007070B0" w:rsidP="009E38BA">
      <w:pPr>
        <w:pStyle w:val="head1"/>
      </w:pPr>
      <w:r>
        <w:rPr>
          <w:noProof/>
          <w:lang w:val="en-US" w:eastAsia="en-US"/>
        </w:rPr>
        <w:drawing>
          <wp:anchor distT="0" distB="0" distL="114300" distR="114300" simplePos="0" relativeHeight="251657216" behindDoc="1" locked="0" layoutInCell="1" allowOverlap="1" wp14:anchorId="315640C7" wp14:editId="317013D1">
            <wp:simplePos x="0" y="0"/>
            <wp:positionH relativeFrom="column">
              <wp:posOffset>5401310</wp:posOffset>
            </wp:positionH>
            <wp:positionV relativeFrom="paragraph">
              <wp:posOffset>33020</wp:posOffset>
            </wp:positionV>
            <wp:extent cx="539115" cy="596900"/>
            <wp:effectExtent l="0" t="0" r="0" b="127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dout.jpg"/>
                    <pic:cNvPicPr/>
                  </pic:nvPicPr>
                  <pic:blipFill>
                    <a:blip r:embed="rId8">
                      <a:extLst>
                        <a:ext uri="{28A0092B-C50C-407E-A947-70E740481C1C}">
                          <a14:useLocalDpi xmlns:a14="http://schemas.microsoft.com/office/drawing/2010/main" val="0"/>
                        </a:ext>
                      </a:extLst>
                    </a:blip>
                    <a:stretch>
                      <a:fillRect/>
                    </a:stretch>
                  </pic:blipFill>
                  <pic:spPr>
                    <a:xfrm>
                      <a:off x="0" y="0"/>
                      <a:ext cx="539115" cy="596900"/>
                    </a:xfrm>
                    <a:prstGeom prst="rect">
                      <a:avLst/>
                    </a:prstGeom>
                  </pic:spPr>
                </pic:pic>
              </a:graphicData>
            </a:graphic>
            <wp14:sizeRelH relativeFrom="page">
              <wp14:pctWidth>0</wp14:pctWidth>
            </wp14:sizeRelH>
            <wp14:sizeRelV relativeFrom="page">
              <wp14:pctHeight>0</wp14:pctHeight>
            </wp14:sizeRelV>
          </wp:anchor>
        </w:drawing>
      </w:r>
      <w:r w:rsidR="009E38BA" w:rsidRPr="009E38BA">
        <w:t xml:space="preserve">Data Protection Simulation: Polio </w:t>
      </w:r>
    </w:p>
    <w:p w:rsidR="002848A4" w:rsidRDefault="009E38BA" w:rsidP="009E38BA">
      <w:pPr>
        <w:pStyle w:val="head1"/>
      </w:pPr>
      <w:r w:rsidRPr="009E38BA">
        <w:t xml:space="preserve">Campaign Monitoring </w:t>
      </w:r>
      <w:proofErr w:type="gramStart"/>
      <w:r w:rsidRPr="009E38BA">
        <w:t>In</w:t>
      </w:r>
      <w:proofErr w:type="gramEnd"/>
      <w:r w:rsidRPr="009E38BA">
        <w:t xml:space="preserve"> Syria</w:t>
      </w:r>
      <w:r w:rsidR="007070B0">
        <w:tab/>
      </w:r>
      <w:r w:rsidR="007070B0">
        <w:tab/>
      </w:r>
      <w:r w:rsidR="007070B0">
        <w:tab/>
      </w:r>
      <w:r w:rsidR="007070B0">
        <w:tab/>
      </w:r>
      <w:r w:rsidR="007070B0">
        <w:tab/>
      </w:r>
    </w:p>
    <w:p w:rsidR="009E38BA" w:rsidRDefault="009E38BA" w:rsidP="009E38BA">
      <w:pPr>
        <w:pStyle w:val="head1"/>
      </w:pPr>
    </w:p>
    <w:p w:rsidR="009E38BA" w:rsidRPr="009E38BA" w:rsidRDefault="009E38BA" w:rsidP="009E38BA">
      <w:pPr>
        <w:spacing w:line="240" w:lineRule="auto"/>
        <w:rPr>
          <w:rFonts w:cs="ArialMT"/>
          <w:color w:val="000000"/>
          <w:sz w:val="28"/>
          <w:szCs w:val="28"/>
          <w:lang w:val="en-GB"/>
        </w:rPr>
      </w:pPr>
      <w:r w:rsidRPr="009E38BA">
        <w:rPr>
          <w:rFonts w:cs="ArialMT"/>
          <w:color w:val="000000"/>
          <w:sz w:val="28"/>
          <w:szCs w:val="28"/>
          <w:lang w:val="en-GB"/>
        </w:rPr>
        <w:t>Qatar Red Crescent Society works as a third-party monitor for a polio campaign in Syria. They are supported by the World Health Organisation (WHO).</w:t>
      </w:r>
    </w:p>
    <w:p w:rsidR="009E38BA" w:rsidRPr="009E38BA" w:rsidRDefault="009E38BA" w:rsidP="009E38BA">
      <w:pPr>
        <w:numPr>
          <w:ilvl w:val="0"/>
          <w:numId w:val="36"/>
        </w:numPr>
        <w:spacing w:line="240" w:lineRule="auto"/>
        <w:rPr>
          <w:rFonts w:cs="ArialMT"/>
          <w:color w:val="000000"/>
          <w:sz w:val="28"/>
          <w:szCs w:val="28"/>
          <w:lang w:val="en-GB"/>
        </w:rPr>
      </w:pPr>
      <w:r w:rsidRPr="009E38BA">
        <w:rPr>
          <w:rFonts w:cs="ArialMT"/>
          <w:color w:val="000000"/>
          <w:sz w:val="28"/>
          <w:szCs w:val="28"/>
          <w:lang w:val="en-GB"/>
        </w:rPr>
        <w:t>What are some of the risks, gaps and needs to support this? How will you safeguard the data workflows to protect the most vulnerable?</w:t>
      </w:r>
    </w:p>
    <w:p w:rsidR="009E38BA" w:rsidRPr="009E38BA" w:rsidRDefault="009E38BA" w:rsidP="009E38BA">
      <w:pPr>
        <w:numPr>
          <w:ilvl w:val="0"/>
          <w:numId w:val="36"/>
        </w:numPr>
        <w:spacing w:line="240" w:lineRule="auto"/>
        <w:rPr>
          <w:rFonts w:cs="ArialMT"/>
          <w:color w:val="000000"/>
          <w:sz w:val="28"/>
          <w:szCs w:val="28"/>
          <w:lang w:val="en-GB"/>
        </w:rPr>
      </w:pPr>
      <w:r w:rsidRPr="009E38BA">
        <w:rPr>
          <w:rFonts w:cs="ArialMT"/>
          <w:color w:val="000000"/>
          <w:sz w:val="28"/>
          <w:szCs w:val="28"/>
          <w:lang w:val="en-GB"/>
        </w:rPr>
        <w:t>What are some of the steps, roles, and decisions in this project?</w:t>
      </w:r>
    </w:p>
    <w:p w:rsidR="009E38BA" w:rsidRPr="009E38BA" w:rsidRDefault="009E38BA" w:rsidP="009E38BA">
      <w:pPr>
        <w:numPr>
          <w:ilvl w:val="0"/>
          <w:numId w:val="36"/>
        </w:numPr>
        <w:spacing w:line="240" w:lineRule="auto"/>
        <w:rPr>
          <w:rFonts w:cs="ArialMT"/>
          <w:color w:val="000000"/>
          <w:sz w:val="28"/>
          <w:szCs w:val="28"/>
          <w:lang w:val="en-GB"/>
        </w:rPr>
      </w:pPr>
      <w:r w:rsidRPr="009E38BA">
        <w:rPr>
          <w:rFonts w:cs="ArialMT"/>
          <w:color w:val="000000"/>
          <w:sz w:val="28"/>
          <w:szCs w:val="28"/>
          <w:lang w:val="en-GB"/>
        </w:rPr>
        <w:t>What is the minimal data set that can be shared and with who? Why?</w:t>
      </w:r>
    </w:p>
    <w:p w:rsidR="009E38BA" w:rsidRPr="009E38BA" w:rsidRDefault="009E38BA" w:rsidP="009E38BA">
      <w:pPr>
        <w:numPr>
          <w:ilvl w:val="0"/>
          <w:numId w:val="36"/>
        </w:numPr>
        <w:spacing w:line="240" w:lineRule="auto"/>
        <w:rPr>
          <w:rFonts w:cs="ArialMT"/>
          <w:color w:val="000000"/>
          <w:sz w:val="28"/>
          <w:szCs w:val="28"/>
          <w:lang w:val="en-GB"/>
        </w:rPr>
      </w:pPr>
      <w:r w:rsidRPr="009E38BA">
        <w:rPr>
          <w:rFonts w:cs="ArialMT"/>
          <w:color w:val="000000"/>
          <w:sz w:val="28"/>
          <w:szCs w:val="28"/>
          <w:lang w:val="en-GB"/>
        </w:rPr>
        <w:t>How was consent acquired, how is the data stored and transmitted?</w:t>
      </w:r>
    </w:p>
    <w:p w:rsidR="004C7683" w:rsidRDefault="004C7683" w:rsidP="00EB5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The workflow is as follows:</w:t>
      </w:r>
    </w:p>
    <w:p w:rsidR="009E38BA" w:rsidRPr="009E38BA" w:rsidRDefault="009E38BA" w:rsidP="009E38BA">
      <w:pPr>
        <w:widowControl w:val="0"/>
        <w:numPr>
          <w:ilvl w:val="0"/>
          <w:numId w:val="38"/>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Prepare forms on paper.</w:t>
      </w:r>
    </w:p>
    <w:p w:rsidR="009E38BA" w:rsidRPr="009E38BA" w:rsidRDefault="009E38BA" w:rsidP="009E38BA">
      <w:pPr>
        <w:widowControl w:val="0"/>
        <w:numPr>
          <w:ilvl w:val="0"/>
          <w:numId w:val="38"/>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Prepare forms on automated system (DHIS2).</w:t>
      </w:r>
    </w:p>
    <w:p w:rsidR="009E38BA" w:rsidRPr="009E38BA" w:rsidRDefault="009E38BA" w:rsidP="009E38BA">
      <w:pPr>
        <w:widowControl w:val="0"/>
        <w:numPr>
          <w:ilvl w:val="0"/>
          <w:numId w:val="38"/>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 xml:space="preserve">Monitor collects data from centres and communities. </w:t>
      </w:r>
    </w:p>
    <w:p w:rsidR="009E38BA" w:rsidRPr="009E38BA" w:rsidRDefault="009E38BA" w:rsidP="009E38BA">
      <w:pPr>
        <w:widowControl w:val="0"/>
        <w:numPr>
          <w:ilvl w:val="0"/>
          <w:numId w:val="38"/>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The supervisor who is responsible for leading the monitors team in his area reports to the district supervisor.</w:t>
      </w:r>
    </w:p>
    <w:p w:rsidR="009E38BA" w:rsidRPr="009E38BA" w:rsidRDefault="009E38BA" w:rsidP="009E38BA">
      <w:pPr>
        <w:widowControl w:val="0"/>
        <w:numPr>
          <w:ilvl w:val="0"/>
          <w:numId w:val="38"/>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District supervisor reports to governorate supervisor.</w:t>
      </w:r>
    </w:p>
    <w:p w:rsidR="009E38BA" w:rsidRPr="009E38BA" w:rsidRDefault="009E38BA" w:rsidP="009E38BA">
      <w:pPr>
        <w:widowControl w:val="0"/>
        <w:numPr>
          <w:ilvl w:val="0"/>
          <w:numId w:val="38"/>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Governorate supervisor sends papers by technology available (mail, file sharing, mobile application, etc…).</w:t>
      </w:r>
    </w:p>
    <w:p w:rsid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 xml:space="preserve">After gathering papers </w:t>
      </w:r>
    </w:p>
    <w:p w:rsidR="009E38BA" w:rsidRPr="009E38BA" w:rsidRDefault="009E38BA" w:rsidP="009E38BA">
      <w:pPr>
        <w:widowControl w:val="0"/>
        <w:numPr>
          <w:ilvl w:val="0"/>
          <w:numId w:val="38"/>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Staff in the Turkey office enter the data into the system (DHIS2).</w:t>
      </w:r>
    </w:p>
    <w:p w:rsidR="009E38BA" w:rsidRPr="009E38BA" w:rsidRDefault="009E38BA" w:rsidP="009E38BA">
      <w:pPr>
        <w:widowControl w:val="0"/>
        <w:numPr>
          <w:ilvl w:val="0"/>
          <w:numId w:val="38"/>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Reporters analyse it and extract pre-defined reports to show the vaccine operation’s indicators and share those reports with WHO and immunization Task force.</w:t>
      </w:r>
    </w:p>
    <w:p w:rsidR="009E38BA" w:rsidRPr="009E38BA" w:rsidRDefault="009E38BA" w:rsidP="009E38BA">
      <w:pPr>
        <w:widowControl w:val="0"/>
        <w:numPr>
          <w:ilvl w:val="0"/>
          <w:numId w:val="38"/>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WHO and task force set a meeting to analyse reports shared by our side and compare them with a report from immunization task force.</w:t>
      </w:r>
    </w:p>
    <w:p w:rsid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Third-party monitoring is working on three main stages</w:t>
      </w:r>
      <w:r w:rsidRPr="009E38BA">
        <w:rPr>
          <w:rFonts w:cs="Arial"/>
          <w:color w:val="000000"/>
          <w:szCs w:val="20"/>
          <w:rtl/>
          <w:lang w:val="en-GB" w:bidi="ar-SY"/>
        </w:rPr>
        <w:t xml:space="preserve"> </w:t>
      </w:r>
      <w:r w:rsidRPr="009E38BA">
        <w:rPr>
          <w:rFonts w:cs="Arial"/>
          <w:color w:val="000000"/>
          <w:szCs w:val="20"/>
          <w:lang w:val="en-GB"/>
        </w:rPr>
        <w:t>during the campaign:</w:t>
      </w:r>
    </w:p>
    <w:p w:rsidR="009E38BA" w:rsidRPr="009E38BA" w:rsidRDefault="009E38BA" w:rsidP="009E38BA">
      <w:pPr>
        <w:widowControl w:val="0"/>
        <w:numPr>
          <w:ilvl w:val="0"/>
          <w:numId w:val="37"/>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Pre- Campaign (visits centres and check in centres, vaccine and vaccination team preparedness).</w:t>
      </w:r>
    </w:p>
    <w:p w:rsidR="009E38BA" w:rsidRPr="009E38BA" w:rsidRDefault="009E38BA" w:rsidP="009E38BA">
      <w:pPr>
        <w:widowControl w:val="0"/>
        <w:numPr>
          <w:ilvl w:val="0"/>
          <w:numId w:val="37"/>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Intra-Campaign (during the campaign, monitors check the variolation process in centres and visit people in houses and markets to monitor the coverage of vaccine).</w:t>
      </w:r>
    </w:p>
    <w:p w:rsidR="009E38BA" w:rsidRPr="009E38BA" w:rsidRDefault="009E38BA" w:rsidP="009E38BA">
      <w:pPr>
        <w:widowControl w:val="0"/>
        <w:numPr>
          <w:ilvl w:val="0"/>
          <w:numId w:val="37"/>
        </w:numPr>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Post-Campaign (after the campaign, monitors visit people in houses and markets and collect data about the coverage of the campaign).</w:t>
      </w:r>
    </w:p>
    <w:p w:rsid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We usually visit vaccine centres one or two days before the campaign to check the centre’s and team’s preparation, and make sure that everything is going according to plan.</w:t>
      </w:r>
    </w:p>
    <w:p w:rsid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bookmarkStart w:id="0" w:name="_GoBack"/>
      <w:bookmarkEnd w:id="0"/>
      <w:r w:rsidRPr="009E38BA">
        <w:rPr>
          <w:rFonts w:cs="Arial"/>
          <w:color w:val="000000"/>
          <w:szCs w:val="20"/>
          <w:lang w:val="en-GB"/>
        </w:rPr>
        <w:t>Also, we pick random people from markets and ask them if they know anything about the campaign and the vaccine and where they heard about them.</w:t>
      </w: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b/>
          <w:color w:val="000000"/>
          <w:szCs w:val="20"/>
          <w:lang w:val="en-GB"/>
        </w:rPr>
      </w:pPr>
    </w:p>
    <w:p w:rsidR="009E38BA" w:rsidRPr="009E38BA" w:rsidRDefault="009E38BA" w:rsidP="009E38BA">
      <w:pPr>
        <w:widowControl w:val="0"/>
        <w:tabs>
          <w:tab w:val="left" w:pos="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b/>
          <w:bCs/>
          <w:color w:val="000000"/>
          <w:szCs w:val="20"/>
          <w:lang w:val="en-GB"/>
        </w:rPr>
      </w:pPr>
      <w:r>
        <w:rPr>
          <w:rFonts w:cs="Arial"/>
          <w:b/>
          <w:bCs/>
          <w:color w:val="000000"/>
          <w:szCs w:val="20"/>
          <w:lang w:val="en-GB"/>
        </w:rPr>
        <w:t>Background</w:t>
      </w:r>
    </w:p>
    <w:p w:rsid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In March 2016, in pre-campaign stage, an independent body for the besieged area of Homs, analysed the data and found something wrong with the vaccine vials. We sent pictures of the vials to WHO, and they decided to close the campaign until they have a new vaccine.</w:t>
      </w:r>
    </w:p>
    <w:p w:rsid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rsid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 xml:space="preserve">The importance of the pre-campaign stage isn’t just to check the vaccine and vaccination team, it’s also about gathering information from a targeted place, to measure people’s knowledge about the campaign and </w:t>
      </w:r>
      <w:r w:rsidRPr="009E38BA">
        <w:rPr>
          <w:rFonts w:cs="Arial"/>
          <w:color w:val="000000"/>
          <w:szCs w:val="20"/>
          <w:lang w:val="en-GB"/>
        </w:rPr>
        <w:lastRenderedPageBreak/>
        <w:t>vaccine.</w:t>
      </w: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E38BA">
        <w:rPr>
          <w:rFonts w:cs="Arial"/>
          <w:color w:val="000000"/>
          <w:szCs w:val="20"/>
          <w:lang w:val="en-GB"/>
        </w:rPr>
        <w:t xml:space="preserve">In August 2017 pre-campaign indicators showed a decrease of knowledge about the campaign. 40% on people didn’t know about the campaign that was supposed to start the next day! Therefor </w:t>
      </w:r>
      <w:proofErr w:type="spellStart"/>
      <w:r w:rsidRPr="009E38BA">
        <w:rPr>
          <w:rFonts w:cs="Arial"/>
          <w:color w:val="000000"/>
          <w:szCs w:val="20"/>
          <w:lang w:val="en-GB"/>
        </w:rPr>
        <w:t>ethe</w:t>
      </w:r>
      <w:proofErr w:type="spellEnd"/>
      <w:r w:rsidRPr="009E38BA">
        <w:rPr>
          <w:rFonts w:cs="Arial"/>
          <w:color w:val="000000"/>
          <w:szCs w:val="20"/>
          <w:lang w:val="en-GB"/>
        </w:rPr>
        <w:t xml:space="preserve"> campaign was been postponed for another week.</w:t>
      </w:r>
    </w:p>
    <w:p w:rsidR="009E38BA" w:rsidRPr="009E38BA" w:rsidRDefault="009E38BA" w:rsidP="009E38BA">
      <w:pPr>
        <w:widowControl w:val="0"/>
        <w:tabs>
          <w:tab w:val="left" w:pos="2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rsidR="009E38BA" w:rsidRPr="009E38BA" w:rsidRDefault="009E38BA" w:rsidP="009E38BA">
      <w:pPr>
        <w:widowControl w:val="0"/>
        <w:tabs>
          <w:tab w:val="left" w:pos="0"/>
          <w:tab w:val="left" w:pos="520"/>
          <w:tab w:val="left" w:pos="1843"/>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Pr>
          <w:rFonts w:cs="Arial"/>
          <w:color w:val="000000"/>
          <w:szCs w:val="20"/>
          <w:lang w:val="en-GB"/>
        </w:rPr>
        <w:t>CREDIT</w:t>
      </w:r>
      <w:r w:rsidRPr="009E38BA">
        <w:rPr>
          <w:rFonts w:cs="Arial"/>
          <w:color w:val="000000"/>
          <w:szCs w:val="20"/>
          <w:lang w:val="en-GB"/>
        </w:rPr>
        <w:t xml:space="preserve"> </w:t>
      </w:r>
    </w:p>
    <w:p w:rsidR="009E38BA" w:rsidRPr="009E38BA" w:rsidRDefault="009E38BA" w:rsidP="009E38BA">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bCs/>
          <w:color w:val="000000"/>
          <w:szCs w:val="20"/>
          <w:lang w:val="en-GB"/>
        </w:rPr>
      </w:pPr>
      <w:r w:rsidRPr="009E38BA">
        <w:rPr>
          <w:rFonts w:cs="Arial"/>
          <w:bCs/>
          <w:color w:val="000000"/>
          <w:szCs w:val="20"/>
          <w:lang w:val="en-GB"/>
        </w:rPr>
        <w:t xml:space="preserve">Hesham Othman Hassan and Nami </w:t>
      </w:r>
      <w:proofErr w:type="spellStart"/>
      <w:r w:rsidRPr="009E38BA">
        <w:rPr>
          <w:rFonts w:cs="Arial"/>
          <w:bCs/>
          <w:color w:val="000000"/>
          <w:szCs w:val="20"/>
          <w:lang w:val="en-GB"/>
        </w:rPr>
        <w:t>Ghadri</w:t>
      </w:r>
      <w:proofErr w:type="spellEnd"/>
      <w:r w:rsidRPr="009E38BA">
        <w:rPr>
          <w:rFonts w:cs="Arial"/>
          <w:bCs/>
          <w:color w:val="000000"/>
          <w:szCs w:val="20"/>
          <w:lang w:val="en-GB"/>
        </w:rPr>
        <w:t>, Qatar Red Crescent</w:t>
      </w:r>
    </w:p>
    <w:p w:rsidR="009E38BA" w:rsidRPr="00EB5F19" w:rsidRDefault="009E38BA" w:rsidP="00EB5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sectPr w:rsidR="009E38BA" w:rsidRPr="00EB5F19" w:rsidSect="0055713A">
      <w:headerReference w:type="default" r:id="rId9"/>
      <w:footerReference w:type="even" r:id="rId10"/>
      <w:footerReference w:type="default" r:id="rId11"/>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D1A" w:rsidRDefault="00A45D1A" w:rsidP="00FA154E">
      <w:r>
        <w:separator/>
      </w:r>
    </w:p>
    <w:p w:rsidR="00A45D1A" w:rsidRDefault="00A45D1A"/>
  </w:endnote>
  <w:endnote w:type="continuationSeparator" w:id="0">
    <w:p w:rsidR="00A45D1A" w:rsidRDefault="00A45D1A" w:rsidP="00FA154E">
      <w:r>
        <w:continuationSeparator/>
      </w:r>
    </w:p>
    <w:p w:rsidR="00A45D1A" w:rsidRDefault="00A45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531D92" w:rsidRPr="00BE5695" w:rsidTr="00494ABD">
      <w:tc>
        <w:tcPr>
          <w:tcW w:w="360" w:type="dxa"/>
          <w:shd w:val="clear" w:color="auto" w:fill="DBE5F1" w:themeFill="accent1" w:themeFillTint="33"/>
        </w:tcPr>
        <w:p w:rsidR="00531D92" w:rsidRPr="00BE5695" w:rsidRDefault="00531D92"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rsidR="00531D92" w:rsidRPr="00BE5695" w:rsidRDefault="00A45D1A"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531D92" w:rsidRPr="00BE5695">
                <w:rPr>
                  <w:rFonts w:ascii="Calibri" w:eastAsiaTheme="majorEastAsia" w:hAnsi="Calibri" w:cstheme="majorBidi"/>
                  <w:b/>
                  <w:sz w:val="24"/>
                  <w:szCs w:val="24"/>
                  <w:bdr w:val="single" w:sz="4" w:space="0" w:color="FFFFFF" w:themeColor="background1"/>
                </w:rPr>
                <w:t>[Type the document title]</w:t>
              </w:r>
            </w:sdtContent>
          </w:sdt>
        </w:p>
      </w:tc>
    </w:tr>
  </w:tbl>
  <w:p w:rsidR="00531D92" w:rsidRDefault="00531D92" w:rsidP="00734513">
    <w:pPr>
      <w:pStyle w:val="Footer"/>
      <w:ind w:right="360"/>
    </w:pPr>
  </w:p>
  <w:p w:rsidR="00531D92" w:rsidRDefault="00531D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D92" w:rsidRPr="0054066F" w:rsidRDefault="00531D92"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EB5F19">
      <w:rPr>
        <w:rStyle w:val="PageNumber"/>
        <w:noProof/>
      </w:rPr>
      <w:t>1</w:t>
    </w:r>
    <w:r w:rsidRPr="0054066F">
      <w:rPr>
        <w:rStyle w:val="PageNumber"/>
      </w:rPr>
      <w:fldChar w:fldCharType="end"/>
    </w:r>
  </w:p>
  <w:p w:rsidR="00531D92" w:rsidRDefault="00531D92" w:rsidP="00734513">
    <w:pPr>
      <w:pStyle w:val="Footer"/>
      <w:ind w:right="360"/>
    </w:pPr>
    <w:r>
      <w:rPr>
        <w:noProof/>
        <w:lang w:eastAsia="en-US"/>
      </w:rPr>
      <w:drawing>
        <wp:anchor distT="0" distB="0" distL="114300" distR="114300" simplePos="0" relativeHeight="251656192" behindDoc="1" locked="0" layoutInCell="1" allowOverlap="1" wp14:anchorId="42A5C26D" wp14:editId="6C20A131">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rsidR="00531D92" w:rsidRDefault="00531D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D1A" w:rsidRDefault="00A45D1A" w:rsidP="00FA154E">
      <w:r>
        <w:separator/>
      </w:r>
    </w:p>
    <w:p w:rsidR="00A45D1A" w:rsidRDefault="00A45D1A"/>
  </w:footnote>
  <w:footnote w:type="continuationSeparator" w:id="0">
    <w:p w:rsidR="00A45D1A" w:rsidRDefault="00A45D1A" w:rsidP="00FA154E">
      <w:r>
        <w:continuationSeparator/>
      </w:r>
    </w:p>
    <w:p w:rsidR="00A45D1A" w:rsidRDefault="00A45D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D92" w:rsidRDefault="00531D92" w:rsidP="00FA154E">
    <w:pPr>
      <w:pStyle w:val="Header"/>
      <w:tabs>
        <w:tab w:val="clear" w:pos="4320"/>
        <w:tab w:val="clear" w:pos="8640"/>
      </w:tabs>
      <w:rPr>
        <w:caps/>
        <w:color w:val="595959" w:themeColor="text1" w:themeTint="A6"/>
        <w:sz w:val="18"/>
        <w:szCs w:val="18"/>
      </w:rPr>
    </w:pPr>
  </w:p>
  <w:p w:rsidR="00531D92" w:rsidRPr="00FA154E" w:rsidRDefault="00531D92"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605F91">
      <w:rPr>
        <w:caps/>
        <w:color w:val="595959" w:themeColor="text1" w:themeTint="A6"/>
        <w:sz w:val="18"/>
        <w:szCs w:val="18"/>
      </w:rPr>
      <w:t xml:space="preserve">DATA PLAYBOOK: </w:t>
    </w:r>
    <w:r>
      <w:rPr>
        <w:caps/>
        <w:color w:val="595959" w:themeColor="text1" w:themeTint="A6"/>
        <w:sz w:val="18"/>
        <w:szCs w:val="18"/>
      </w:rPr>
      <w:t>HANDOUT</w:t>
    </w:r>
    <w:r w:rsidRPr="00FA154E">
      <w:rPr>
        <w:caps/>
        <w:color w:val="595959" w:themeColor="text1" w:themeTint="A6"/>
        <w:sz w:val="18"/>
        <w:szCs w:val="18"/>
      </w:rPr>
      <w:t xml:space="preserve"> </w:t>
    </w:r>
    <w:r w:rsidR="009E38BA">
      <w:rPr>
        <w:caps/>
        <w:color w:val="595959" w:themeColor="text1" w:themeTint="A6"/>
        <w:sz w:val="18"/>
        <w:szCs w:val="18"/>
      </w:rPr>
      <w:t>10</w:t>
    </w:r>
  </w:p>
  <w:p w:rsidR="00531D92" w:rsidRDefault="00531D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B9A5E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472E2"/>
    <w:multiLevelType w:val="hybridMultilevel"/>
    <w:tmpl w:val="88048C46"/>
    <w:lvl w:ilvl="0" w:tplc="7CA69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4" w15:restartNumberingAfterBreak="0">
    <w:nsid w:val="0E0F7AD0"/>
    <w:multiLevelType w:val="hybridMultilevel"/>
    <w:tmpl w:val="89CE450E"/>
    <w:lvl w:ilvl="0" w:tplc="F272AE5C">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46645E"/>
    <w:multiLevelType w:val="hybridMultilevel"/>
    <w:tmpl w:val="8C365D22"/>
    <w:lvl w:ilvl="0" w:tplc="8E8C3B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1"/>
  </w:num>
  <w:num w:numId="3">
    <w:abstractNumId w:val="3"/>
  </w:num>
  <w:num w:numId="4">
    <w:abstractNumId w:val="5"/>
  </w:num>
  <w:num w:numId="5">
    <w:abstractNumId w:val="7"/>
  </w:num>
  <w:num w:numId="6">
    <w:abstractNumId w:val="14"/>
  </w:num>
  <w:num w:numId="7">
    <w:abstractNumId w:val="24"/>
  </w:num>
  <w:num w:numId="8">
    <w:abstractNumId w:val="21"/>
  </w:num>
  <w:num w:numId="9">
    <w:abstractNumId w:val="33"/>
  </w:num>
  <w:num w:numId="10">
    <w:abstractNumId w:val="29"/>
  </w:num>
  <w:num w:numId="11">
    <w:abstractNumId w:val="20"/>
  </w:num>
  <w:num w:numId="12">
    <w:abstractNumId w:val="1"/>
  </w:num>
  <w:num w:numId="13">
    <w:abstractNumId w:val="15"/>
  </w:num>
  <w:num w:numId="14">
    <w:abstractNumId w:val="17"/>
  </w:num>
  <w:num w:numId="15">
    <w:abstractNumId w:val="35"/>
  </w:num>
  <w:num w:numId="16">
    <w:abstractNumId w:val="25"/>
  </w:num>
  <w:num w:numId="17">
    <w:abstractNumId w:val="37"/>
  </w:num>
  <w:num w:numId="18">
    <w:abstractNumId w:val="13"/>
  </w:num>
  <w:num w:numId="19">
    <w:abstractNumId w:val="34"/>
  </w:num>
  <w:num w:numId="20">
    <w:abstractNumId w:val="36"/>
  </w:num>
  <w:num w:numId="21">
    <w:abstractNumId w:val="23"/>
  </w:num>
  <w:num w:numId="22">
    <w:abstractNumId w:val="10"/>
  </w:num>
  <w:num w:numId="23">
    <w:abstractNumId w:val="8"/>
  </w:num>
  <w:num w:numId="24">
    <w:abstractNumId w:val="18"/>
  </w:num>
  <w:num w:numId="25">
    <w:abstractNumId w:val="16"/>
  </w:num>
  <w:num w:numId="26">
    <w:abstractNumId w:val="32"/>
  </w:num>
  <w:num w:numId="27">
    <w:abstractNumId w:val="0"/>
  </w:num>
  <w:num w:numId="28">
    <w:abstractNumId w:val="30"/>
  </w:num>
  <w:num w:numId="29">
    <w:abstractNumId w:val="22"/>
  </w:num>
  <w:num w:numId="30">
    <w:abstractNumId w:val="27"/>
  </w:num>
  <w:num w:numId="31">
    <w:abstractNumId w:val="4"/>
  </w:num>
  <w:num w:numId="32">
    <w:abstractNumId w:val="19"/>
  </w:num>
  <w:num w:numId="33">
    <w:abstractNumId w:val="31"/>
  </w:num>
  <w:num w:numId="34">
    <w:abstractNumId w:val="28"/>
  </w:num>
  <w:num w:numId="35">
    <w:abstractNumId w:val="12"/>
  </w:num>
  <w:num w:numId="36">
    <w:abstractNumId w:val="6"/>
  </w:num>
  <w:num w:numId="37">
    <w:abstractNumId w:val="2"/>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BA"/>
    <w:rsid w:val="000155DC"/>
    <w:rsid w:val="00060778"/>
    <w:rsid w:val="000673B8"/>
    <w:rsid w:val="00070DEB"/>
    <w:rsid w:val="0008165E"/>
    <w:rsid w:val="00082D30"/>
    <w:rsid w:val="000D3468"/>
    <w:rsid w:val="001030D2"/>
    <w:rsid w:val="00126A85"/>
    <w:rsid w:val="0016646E"/>
    <w:rsid w:val="001A2C70"/>
    <w:rsid w:val="001B1CCD"/>
    <w:rsid w:val="001C4B69"/>
    <w:rsid w:val="001C6605"/>
    <w:rsid w:val="001D53C4"/>
    <w:rsid w:val="00205509"/>
    <w:rsid w:val="002101A1"/>
    <w:rsid w:val="0024620E"/>
    <w:rsid w:val="0025304C"/>
    <w:rsid w:val="00255E5F"/>
    <w:rsid w:val="002848A4"/>
    <w:rsid w:val="002969F5"/>
    <w:rsid w:val="00310114"/>
    <w:rsid w:val="003705B5"/>
    <w:rsid w:val="003961C0"/>
    <w:rsid w:val="003A0BF0"/>
    <w:rsid w:val="003A396E"/>
    <w:rsid w:val="003C3BF1"/>
    <w:rsid w:val="003C4CAC"/>
    <w:rsid w:val="003D0C13"/>
    <w:rsid w:val="003D3249"/>
    <w:rsid w:val="003F77E3"/>
    <w:rsid w:val="0044315E"/>
    <w:rsid w:val="00470DF0"/>
    <w:rsid w:val="00494ABD"/>
    <w:rsid w:val="004B35DF"/>
    <w:rsid w:val="004C0D25"/>
    <w:rsid w:val="004C7683"/>
    <w:rsid w:val="00531D92"/>
    <w:rsid w:val="0054066F"/>
    <w:rsid w:val="0055713A"/>
    <w:rsid w:val="00577709"/>
    <w:rsid w:val="005E1AE3"/>
    <w:rsid w:val="00605F91"/>
    <w:rsid w:val="0061748E"/>
    <w:rsid w:val="00630C85"/>
    <w:rsid w:val="0065024C"/>
    <w:rsid w:val="006A3401"/>
    <w:rsid w:val="006A7AD5"/>
    <w:rsid w:val="006B3EE9"/>
    <w:rsid w:val="006B78E1"/>
    <w:rsid w:val="006C70A1"/>
    <w:rsid w:val="006E1E95"/>
    <w:rsid w:val="006E76AF"/>
    <w:rsid w:val="007056E3"/>
    <w:rsid w:val="007070B0"/>
    <w:rsid w:val="007100DD"/>
    <w:rsid w:val="00710424"/>
    <w:rsid w:val="00734513"/>
    <w:rsid w:val="007A191F"/>
    <w:rsid w:val="007A3E24"/>
    <w:rsid w:val="007C6690"/>
    <w:rsid w:val="007D44D4"/>
    <w:rsid w:val="007E5259"/>
    <w:rsid w:val="007F11E6"/>
    <w:rsid w:val="00802A9D"/>
    <w:rsid w:val="00806EE4"/>
    <w:rsid w:val="008156B8"/>
    <w:rsid w:val="00830A1C"/>
    <w:rsid w:val="00854871"/>
    <w:rsid w:val="00864AD6"/>
    <w:rsid w:val="00883100"/>
    <w:rsid w:val="008D3D11"/>
    <w:rsid w:val="00902F3F"/>
    <w:rsid w:val="009563A2"/>
    <w:rsid w:val="00984AC2"/>
    <w:rsid w:val="009A54B6"/>
    <w:rsid w:val="009E38BA"/>
    <w:rsid w:val="009E7326"/>
    <w:rsid w:val="009F15B3"/>
    <w:rsid w:val="009F1C11"/>
    <w:rsid w:val="00A05921"/>
    <w:rsid w:val="00A14EFF"/>
    <w:rsid w:val="00A15B02"/>
    <w:rsid w:val="00A27B46"/>
    <w:rsid w:val="00A45D1A"/>
    <w:rsid w:val="00AA648A"/>
    <w:rsid w:val="00AE6DB9"/>
    <w:rsid w:val="00B146F5"/>
    <w:rsid w:val="00B46A67"/>
    <w:rsid w:val="00B5273D"/>
    <w:rsid w:val="00BB4BA5"/>
    <w:rsid w:val="00BD507A"/>
    <w:rsid w:val="00BF0F26"/>
    <w:rsid w:val="00C177D7"/>
    <w:rsid w:val="00C75CFE"/>
    <w:rsid w:val="00CA3B9C"/>
    <w:rsid w:val="00CB5B5E"/>
    <w:rsid w:val="00CC0B56"/>
    <w:rsid w:val="00CE7DD1"/>
    <w:rsid w:val="00CF1D9F"/>
    <w:rsid w:val="00D25C9C"/>
    <w:rsid w:val="00D35E93"/>
    <w:rsid w:val="00D77E2D"/>
    <w:rsid w:val="00DD6003"/>
    <w:rsid w:val="00E03026"/>
    <w:rsid w:val="00E217CB"/>
    <w:rsid w:val="00E576D3"/>
    <w:rsid w:val="00E76067"/>
    <w:rsid w:val="00E84B8A"/>
    <w:rsid w:val="00EB5F19"/>
    <w:rsid w:val="00EC2062"/>
    <w:rsid w:val="00ED1E9C"/>
    <w:rsid w:val="00EE7A89"/>
    <w:rsid w:val="00F12455"/>
    <w:rsid w:val="00F13F85"/>
    <w:rsid w:val="00F50478"/>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A08268"/>
  <w15:docId w15:val="{248B9534-3B79-3144-8DC3-A5C82BA97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10pt"/>
    <w:qFormat/>
    <w:rsid w:val="002848A4"/>
    <w:pPr>
      <w:tabs>
        <w:tab w:val="left" w:pos="284"/>
      </w:tabs>
      <w:spacing w:after="0" w:line="260" w:lineRule="exact"/>
    </w:pPr>
    <w:rPr>
      <w:rFonts w:ascii="Arial" w:hAnsi="Arial"/>
      <w:sz w:val="20"/>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doutintro">
    <w:name w:val="handout intro"/>
    <w:basedOn w:val="Normal"/>
    <w:qFormat/>
    <w:rsid w:val="002848A4"/>
    <w:pPr>
      <w:widowControl w:val="0"/>
      <w:tabs>
        <w:tab w:val="clear" w:pos="284"/>
        <w:tab w:val="left" w:pos="20"/>
        <w:tab w:val="left" w:pos="520"/>
        <w:tab w:val="left" w:pos="1840"/>
        <w:tab w:val="left" w:pos="2840"/>
        <w:tab w:val="left" w:pos="3340"/>
        <w:tab w:val="left" w:pos="6240"/>
        <w:tab w:val="left" w:pos="6780"/>
      </w:tabs>
      <w:suppressAutoHyphens/>
      <w:autoSpaceDE w:val="0"/>
      <w:autoSpaceDN w:val="0"/>
      <w:adjustRightInd w:val="0"/>
      <w:spacing w:line="360" w:lineRule="atLeast"/>
      <w:textAlignment w:val="center"/>
    </w:pPr>
    <w:rPr>
      <w:rFonts w:cs="ArialMT"/>
      <w:color w:val="000000"/>
      <w:sz w:val="28"/>
      <w:szCs w:val="2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textAlignment w:val="center"/>
    </w:pPr>
    <w:rPr>
      <w:rFonts w:cs="Lato-Regular"/>
      <w:color w:val="00000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806EE4"/>
    <w:pPr>
      <w:spacing w:before="100" w:beforeAutospacing="1" w:after="100" w:afterAutospacing="1" w:line="240" w:lineRule="auto"/>
    </w:pPr>
    <w:rPr>
      <w:rFonts w:ascii="Times" w:hAnsi="Times" w:cs="Times New Roman"/>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36"/>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head1">
    <w:name w:val="head 1"/>
    <w:basedOn w:val="Normal"/>
    <w:qFormat/>
    <w:rsid w:val="002848A4"/>
    <w:pPr>
      <w:widowControl w:val="0"/>
      <w:tabs>
        <w:tab w:val="clear" w:pos="284"/>
      </w:tabs>
      <w:autoSpaceDE w:val="0"/>
      <w:autoSpaceDN w:val="0"/>
      <w:adjustRightInd w:val="0"/>
      <w:spacing w:line="480" w:lineRule="atLeast"/>
      <w:textAlignment w:val="center"/>
    </w:pPr>
    <w:rPr>
      <w:rFonts w:cs="ArialMT"/>
      <w:color w:val="595959" w:themeColor="text1" w:themeTint="A6"/>
      <w:sz w:val="48"/>
      <w:szCs w:val="48"/>
      <w:lang w:val="en-GB"/>
    </w:rPr>
  </w:style>
  <w:style w:type="paragraph" w:customStyle="1" w:styleId="ReferenceTitle">
    <w:name w:val="Reference Title"/>
    <w:basedOn w:val="handoutintro"/>
    <w:qFormat/>
    <w:rsid w:val="00205509"/>
    <w:rPr>
      <w:rFonts w:ascii="Arial-BoldMT" w:hAnsi="Arial-BoldMT" w:cs="Arial-BoldMT"/>
      <w:b/>
      <w:bCs/>
      <w:color w:val="ED1C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Templates/LayoutTemplates/Final_Handou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D51D4-F3A6-3F44-B81D-F48DF5CC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Final_Handout_Template.dotx</Template>
  <TotalTime>8</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1</cp:revision>
  <cp:lastPrinted>2018-05-04T10:51:00Z</cp:lastPrinted>
  <dcterms:created xsi:type="dcterms:W3CDTF">2018-06-27T16:09:00Z</dcterms:created>
  <dcterms:modified xsi:type="dcterms:W3CDTF">2018-06-27T16:17:00Z</dcterms:modified>
</cp:coreProperties>
</file>