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40"/>
      </w:pPr>
      <w:r>
        <w:t xml:space="preserve"/>
      </w:r>
    </w:p>
    <w:p>
      <w:pPr>
        <w:spacing w:before="480" w:after="80"/>
        <w:jc w:val="center"/>
      </w:pPr>
      <w:r>
        <w:rPr>
          <w:rFonts w:ascii="Arial" w:cs="Arial" w:eastAsia="Arial" w:hAnsi="Arial"/>
          <w:b/>
          <w:bCs/>
          <w:color w:val="1A3C5E"/>
          <w:sz w:val="64"/>
          <w:szCs w:val="64"/>
        </w:rPr>
        <w:t xml:space="preserve">🌍  EW4ALL 2027</w:t>
      </w:r>
    </w:p>
    <w:p>
      <w:pPr>
        <w:spacing w:after="60"/>
        <w:jc w:val="center"/>
      </w:pPr>
      <w:r>
        <w:rPr>
          <w:rFonts w:ascii="Arial" w:cs="Arial" w:eastAsia="Arial" w:hAnsi="Arial"/>
          <w:b/>
          <w:bCs/>
          <w:color w:val="1A7A6E"/>
          <w:sz w:val="48"/>
          <w:szCs w:val="48"/>
        </w:rPr>
        <w:t xml:space="preserve">THE LAST-MILE CHALLENGE</w:t>
      </w:r>
    </w:p>
    <w:p>
      <w:pPr>
        <w:spacing w:after="280"/>
        <w:jc w:val="center"/>
      </w:pPr>
      <w:r>
        <w:rPr>
          <w:rFonts w:ascii="Arial" w:cs="Arial" w:eastAsia="Arial" w:hAnsi="Arial"/>
          <w:color w:val="5A6A7A"/>
          <w:sz w:val="28"/>
          <w:szCs w:val="28"/>
        </w:rPr>
        <w:t xml:space="preserve">Implementation Roadmap for Malawi  |  2026–2030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07B39" w:sz="1"/>
              <w:left w:val="single" w:color="E07B39" w:sz="1"/>
              <w:bottom w:val="single" w:color="E07B39" w:sz="1"/>
              <w:right w:val="single" w:color="E07B39" w:sz="1"/>
            </w:tcBorders>
            <w:shd w:fill="FDF3E9" w:val="clear"/>
            <w:tcMar>
              <w:top w:type="dxa" w:w="200"/>
              <w:left w:type="dxa" w:w="360"/>
              <w:bottom w:type="dxa" w:w="200"/>
              <w:right w:type="dxa" w:w="360"/>
            </w:tcMar>
          </w:tcPr>
          <w:p>
            <w:pPr>
              <w:jc w:val="center"/>
            </w:pPr>
            <w:r>
              <w:rPr>
                <w:rFonts w:ascii="Arial" w:cs="Arial" w:eastAsia="Arial" w:hAnsi="Arial"/>
                <w:color w:val="E07B39"/>
                <w:sz w:val="22"/>
                <w:szCs w:val="22"/>
              </w:rPr>
              <w:t xml:space="preserve">Digital Governance and Inclusive Resilience</w:t>
            </w:r>
          </w:p>
          <w:p>
            <w:pPr>
              <w:jc w:val="center"/>
            </w:pPr>
            <w:r>
              <w:rPr>
                <w:rFonts w:ascii="Arial" w:cs="Arial" w:eastAsia="Arial" w:hAnsi="Arial"/>
                <w:color w:val="1A2A3A"/>
                <w:sz w:val="20"/>
                <w:szCs w:val="20"/>
              </w:rPr>
              <w:t xml:space="preserve">Subject: Bridging the Tech-Equity Gap in Early Warnings For All</w:t>
            </w:r>
          </w:p>
          <w:p>
            <w:pPr>
              <w:spacing w:before="80"/>
              <w:jc w:val="center"/>
            </w:pPr>
            <w:r>
              <w:rPr>
                <w:rFonts w:ascii="Arial" w:cs="Arial" w:eastAsia="Arial" w:hAnsi="Arial"/>
                <w:color w:val="5A6A7A"/>
                <w:sz w:val="18"/>
                <w:szCs w:val="18"/>
              </w:rPr>
              <w:t xml:space="preserve">March 2026  |  Prepared in response to the UNDRR January 2026 Update</w:t>
            </w:r>
          </w:p>
        </w:tc>
      </w:tr>
    </w:tbl>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1A3C5E" w:sz="1"/>
              <w:left w:val="single" w:color="1A3C5E" w:sz="1"/>
              <w:bottom w:val="single" w:color="1A3C5E" w:sz="1"/>
              <w:right w:val="single" w:color="1A3C5E" w:sz="1"/>
            </w:tcBorders>
            <w:shd w:fill="F0F4F8" w:val="clear"/>
            <w:tcMar>
              <w:top w:type="dxa" w:w="120"/>
              <w:left w:type="dxa" w:w="120"/>
              <w:bottom w:type="dxa" w:w="120"/>
              <w:right w:type="dxa" w:w="120"/>
            </w:tcMar>
            <w:vAlign w:val="center"/>
          </w:tcPr>
          <w:p>
            <w:pPr>
              <w:jc w:val="center"/>
            </w:pPr>
            <w:r>
              <w:rPr>
                <w:rFonts w:ascii="Arial" w:cs="Arial" w:eastAsia="Arial" w:hAnsi="Arial"/>
                <w:b/>
                <w:bCs/>
                <w:color w:val="1A3C5E"/>
                <w:sz w:val="40"/>
                <w:szCs w:val="40"/>
              </w:rPr>
              <w:t xml:space="preserve">EW4All</w:t>
            </w:r>
          </w:p>
          <w:p>
            <w:pPr>
              <w:jc w:val="center"/>
            </w:pPr>
            <w:r>
              <w:rPr>
                <w:rFonts w:ascii="Arial" w:cs="Arial" w:eastAsia="Arial" w:hAnsi="Arial"/>
                <w:color w:val="5A6A7A"/>
                <w:sz w:val="16"/>
                <w:szCs w:val="16"/>
              </w:rPr>
              <w:t xml:space="preserve">2027 Universal Coverage Target</w:t>
            </w:r>
          </w:p>
        </w:tc>
        <w:tc>
          <w:tcPr>
            <w:tcBorders>
              <w:top w:val="single" w:color="C0392B" w:sz="1"/>
              <w:left w:val="single" w:color="C0392B" w:sz="1"/>
              <w:bottom w:val="single" w:color="C0392B" w:sz="1"/>
              <w:right w:val="single" w:color="C0392B" w:sz="1"/>
            </w:tcBorders>
            <w:shd w:fill="FDE8E8" w:val="clear"/>
            <w:tcMar>
              <w:top w:type="dxa" w:w="120"/>
              <w:left w:type="dxa" w:w="120"/>
              <w:bottom w:type="dxa" w:w="120"/>
              <w:right w:type="dxa" w:w="120"/>
            </w:tcMar>
            <w:vAlign w:val="center"/>
          </w:tcPr>
          <w:p>
            <w:pPr>
              <w:jc w:val="center"/>
            </w:pPr>
            <w:r>
              <w:rPr>
                <w:rFonts w:ascii="Arial" w:cs="Arial" w:eastAsia="Arial" w:hAnsi="Arial"/>
                <w:b/>
                <w:bCs/>
                <w:color w:val="C0392B"/>
                <w:sz w:val="40"/>
                <w:szCs w:val="40"/>
              </w:rPr>
              <w:t xml:space="preserve">28/100</w:t>
            </w:r>
          </w:p>
          <w:p>
            <w:pPr>
              <w:jc w:val="center"/>
            </w:pPr>
            <w:r>
              <w:rPr>
                <w:rFonts w:ascii="Arial" w:cs="Arial" w:eastAsia="Arial" w:hAnsi="Arial"/>
                <w:color w:val="5A6A7A"/>
                <w:sz w:val="16"/>
                <w:szCs w:val="16"/>
              </w:rPr>
              <w:t xml:space="preserve">Malawi Weather Stations Operational</w:t>
            </w:r>
          </w:p>
        </w:tc>
        <w:tc>
          <w:tcPr>
            <w:tcBorders>
              <w:top w:val="single" w:color="E07B39" w:sz="1"/>
              <w:left w:val="single" w:color="E07B39" w:sz="1"/>
              <w:bottom w:val="single" w:color="E07B39" w:sz="1"/>
              <w:right w:val="single" w:color="E07B39" w:sz="1"/>
            </w:tcBorders>
            <w:shd w:fill="FDF3E9" w:val="clear"/>
            <w:tcMar>
              <w:top w:type="dxa" w:w="120"/>
              <w:left w:type="dxa" w:w="120"/>
              <w:bottom w:type="dxa" w:w="120"/>
              <w:right w:type="dxa" w:w="120"/>
            </w:tcMar>
            <w:vAlign w:val="center"/>
          </w:tcPr>
          <w:p>
            <w:pPr>
              <w:jc w:val="center"/>
            </w:pPr>
            <w:r>
              <w:rPr>
                <w:rFonts w:ascii="Arial" w:cs="Arial" w:eastAsia="Arial" w:hAnsi="Arial"/>
                <w:b/>
                <w:bCs/>
                <w:color w:val="E07B39"/>
                <w:sz w:val="40"/>
                <w:szCs w:val="40"/>
              </w:rPr>
              <w:t xml:space="preserve">$63M</w:t>
            </w:r>
          </w:p>
          <w:p>
            <w:pPr>
              <w:jc w:val="center"/>
            </w:pPr>
            <w:r>
              <w:rPr>
                <w:rFonts w:ascii="Arial" w:cs="Arial" w:eastAsia="Arial" w:hAnsi="Arial"/>
                <w:color w:val="5A6A7A"/>
                <w:sz w:val="16"/>
                <w:szCs w:val="16"/>
              </w:rPr>
              <w:t xml:space="preserve">Financing Needed (Nat. Framework)</w:t>
            </w:r>
          </w:p>
        </w:tc>
        <w:tc>
          <w:tcPr>
            <w:tcBorders>
              <w:top w:val="single" w:color="27AE60" w:sz="1"/>
              <w:left w:val="single" w:color="27AE60" w:sz="1"/>
              <w:bottom w:val="single" w:color="27AE60" w:sz="1"/>
              <w:right w:val="single" w:color="27AE60" w:sz="1"/>
            </w:tcBorders>
            <w:shd w:fill="E8F7EE" w:val="clear"/>
            <w:tcMar>
              <w:top w:type="dxa" w:w="120"/>
              <w:left w:type="dxa" w:w="120"/>
              <w:bottom w:type="dxa" w:w="120"/>
              <w:right w:type="dxa" w:w="120"/>
            </w:tcMar>
            <w:vAlign w:val="center"/>
          </w:tcPr>
          <w:p>
            <w:pPr>
              <w:jc w:val="center"/>
            </w:pPr>
            <w:r>
              <w:rPr>
                <w:rFonts w:ascii="Arial" w:cs="Arial" w:eastAsia="Arial" w:hAnsi="Arial"/>
                <w:b/>
                <w:bCs/>
                <w:color w:val="27AE60"/>
                <w:sz w:val="40"/>
                <w:szCs w:val="40"/>
              </w:rPr>
              <w:t xml:space="preserve">$14</w:t>
            </w:r>
          </w:p>
          <w:p>
            <w:pPr>
              <w:jc w:val="center"/>
            </w:pPr>
            <w:r>
              <w:rPr>
                <w:rFonts w:ascii="Arial" w:cs="Arial" w:eastAsia="Arial" w:hAnsi="Arial"/>
                <w:color w:val="5A6A7A"/>
                <w:sz w:val="16"/>
                <w:szCs w:val="16"/>
              </w:rPr>
              <w:t xml:space="preserve">Return per $1 Invested in Meteorology</w:t>
            </w:r>
          </w:p>
        </w:tc>
      </w:tr>
    </w:tbl>
    <w:p>
      <w:pPr>
        <w:spacing w:before="0" w:after="12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C5E" w:sz="1"/>
              <w:left w:val="single" w:color="1A3C5E" w:sz="1"/>
              <w:bottom w:val="single" w:color="1A3C5E" w:sz="1"/>
              <w:right w:val="single" w:color="1A3C5E" w:sz="1"/>
            </w:tcBorders>
            <w:shd w:fill="1A3C5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EXECUTIVE SUMMARY</w:t>
            </w:r>
          </w:p>
        </w:tc>
      </w:tr>
    </w:tbl>
    <w:p>
      <w:pPr>
        <w:spacing w:before="0" w:after="120"/>
      </w:pPr>
      <w:r>
        <w:t xml:space="preserve"/>
      </w:r>
    </w:p>
    <w:p>
      <w:pPr>
        <w:spacing w:before="80" w:after="80" w:line="276"/>
        <w:jc w:val="both"/>
      </w:pPr>
      <w:r>
        <w:rPr>
          <w:rFonts w:ascii="Arial" w:cs="Arial" w:eastAsia="Arial" w:hAnsi="Arial"/>
          <w:color w:val="1A2A3A"/>
          <w:sz w:val="20"/>
          <w:szCs w:val="20"/>
        </w:rPr>
        <w:t xml:space="preserve">This Implementation Roadmap responds to the 2027 mandate of the United Nations Early Warnings for All (EW4All) initiative by designing a localized, multi-hazard early warning strategy for Malawi — a Least Developed Country (LDC) in sub-Saharan Africa that epitomizes the structural inequalities underpinning global disaster vulnerability. Drawing on the UNDRR January 2026 Update, the WMO Global Status of MHEWS 2025 Report, and field evidence from CREWS mission visits to Malawi (February 2026), this roadmap delivers three integrated deliverables: a five-year National Roadmap (2026–2030), a Last-Mile Communication Protocol, and a Budget Proposal for pre-disaster infrastructure investment.</w:t>
      </w:r>
    </w:p>
    <w:p>
      <w:pPr>
        <w:spacing w:before="0" w:after="60"/>
      </w:pPr>
      <w:r>
        <w:t xml:space="preserve"/>
      </w:r>
    </w:p>
    <w:p>
      <w:pPr>
        <w:spacing w:before="80" w:after="80" w:line="276"/>
        <w:jc w:val="both"/>
      </w:pPr>
      <w:r>
        <w:rPr>
          <w:rFonts w:ascii="Arial" w:cs="Arial" w:eastAsia="Arial" w:hAnsi="Arial"/>
          <w:color w:val="1A2A3A"/>
          <w:sz w:val="20"/>
          <w:szCs w:val="20"/>
        </w:rPr>
        <w:t xml:space="preserve">At the heart of this roadmap lies a critical analytical insight: early warning effectiveness is not determined by technological sophistication alone, but by the product of three equally weighted factors — forecast accuracy, population coverage, and actionability. Using the WMO Warning Efficiency Model (E_warning = P_accuracy × C_coverage × A_action), this document argues that Malawi's current path risks producing a high-accuracy, low-action system — one where satellite data flows seamlessly to national meteorological centers but fails to reach the rural village elder or the woman farmer before the floodwaters rise.</w:t>
      </w:r>
    </w:p>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C5E" w:sz="1"/>
              <w:left w:val="single" w:color="1A3C5E" w:sz="1"/>
              <w:bottom w:val="single" w:color="1A3C5E" w:sz="1"/>
              <w:right w:val="single" w:color="1A3C5E" w:sz="1"/>
            </w:tcBorders>
            <w:shd w:fill="1A3C5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SECTION 1: THE 2027 DEADLINE — DIAGNOSTIC ANALYSIS</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1.1  Malawi as the Paradigm Case for LDC Warning Gaps</w:t>
      </w:r>
    </w:p>
    <w:p>
      <w:pPr>
        <w:spacing w:before="80" w:after="80" w:line="276"/>
        <w:jc w:val="both"/>
      </w:pPr>
      <w:r>
        <w:rPr>
          <w:rFonts w:ascii="Arial" w:cs="Arial" w:eastAsia="Arial" w:hAnsi="Arial"/>
          <w:color w:val="1A2A3A"/>
          <w:sz w:val="20"/>
          <w:szCs w:val="20"/>
        </w:rPr>
        <w:t xml:space="preserve">Malawi is simultaneously a success story and a cautionary tale. As WMO Secretary-General Celeste Saulo remarked during the February 2026 CREWS mission: Malawi can be a 'lighthouse' for least developed countries — a country with strong political commitment to Early Warnings for All by 2027, and a demonstrable institutional capacity through the Department of Climate Change and Meteorological Services (DCCMS). Yet the same mission identified persistent and structurally rooted challenges that place the 2027 deadline in serious jeopardy.</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FDE8E8" w:sz="1"/>
              <w:left w:val="single" w:color="FDE8E8" w:sz="1"/>
              <w:bottom w:val="single" w:color="FDE8E8" w:sz="1"/>
              <w:right w:val="single" w:color="FDE8E8" w:sz="1"/>
            </w:tcBorders>
            <w:shd w:fill="C0392B"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GAP</w:t>
            </w:r>
          </w:p>
        </w:tc>
        <w:tc>
          <w:tcPr>
            <w:tcBorders>
              <w:top w:val="single" w:color="FDE8E8" w:sz="1"/>
              <w:left w:val="single" w:color="FDE8E8" w:sz="1"/>
              <w:bottom w:val="single" w:color="FDE8E8" w:sz="1"/>
              <w:right w:val="single" w:color="FDE8E8" w:sz="1"/>
            </w:tcBorders>
            <w:shd w:fill="FDE8E8" w:val="clear"/>
            <w:tcMar>
              <w:top w:type="dxa" w:w="120"/>
              <w:left w:type="dxa" w:w="160"/>
              <w:bottom w:type="dxa" w:w="120"/>
              <w:right w:type="dxa" w:w="160"/>
            </w:tcMar>
          </w:tcPr>
          <w:p>
            <w:r>
              <w:rPr>
                <w:rFonts w:ascii="Arial" w:cs="Arial" w:eastAsia="Arial" w:hAnsi="Arial"/>
                <w:color w:val="1A2A3A"/>
                <w:sz w:val="20"/>
                <w:szCs w:val="20"/>
              </w:rPr>
              <w:t xml:space="preserve">Only 28 of 100 weather stations are fully operational. An estimated US$63 million is required to implement the National Framework for Water and Climate Services. Without this foundational observational infrastructure, AI-enabled forecasting models remain data-starved and unreliable.</w:t>
            </w:r>
          </w:p>
        </w:tc>
      </w:tr>
    </w:tbl>
    <w:p>
      <w:pPr>
        <w:spacing w:before="0" w:after="60"/>
      </w:pPr>
      <w:r>
        <w:t xml:space="preserve"/>
      </w:r>
    </w:p>
    <w:p>
      <w:pPr>
        <w:spacing w:before="80" w:after="80" w:line="276"/>
        <w:jc w:val="both"/>
      </w:pPr>
      <w:r>
        <w:rPr>
          <w:rFonts w:ascii="Arial" w:cs="Arial" w:eastAsia="Arial" w:hAnsi="Arial"/>
          <w:color w:val="1A2A3A"/>
          <w:sz w:val="20"/>
          <w:szCs w:val="20"/>
        </w:rPr>
        <w:t xml:space="preserve">The January 2026 UNDRR update reveals that across the Africa region, MHEWS comprehensiveness improved by 72% since 2015 — the highest regional gain globally — yet Africa remains the region with the lowest absolute comprehensiveness scores. Malawi reflects this paradox precisely. Progress in national-level forecast accuracy has not translated into community-level actionability. A Southern Africa workshop in January 2026 co-facilitated by TAHMO explicitly identified 'data integration, communication, and last-mile delivery' as the three defining gaps in impact-based forecasting across the region.</w:t>
      </w:r>
    </w:p>
    <w:p>
      <w:pPr>
        <w:spacing w:before="0" w:after="60"/>
      </w:pPr>
      <w:r>
        <w:t xml:space="preserve"/>
      </w:r>
    </w:p>
    <w:p>
      <w:pPr>
        <w:pStyle w:val="Heading3"/>
        <w:spacing w:before="200" w:after="80"/>
      </w:pPr>
      <w:r>
        <w:rPr>
          <w:rFonts w:ascii="Arial" w:cs="Arial" w:eastAsia="Arial" w:hAnsi="Arial"/>
          <w:b/>
          <w:bCs/>
          <w:color w:val="E07B39"/>
          <w:sz w:val="22"/>
          <w:szCs w:val="22"/>
        </w:rPr>
        <w:t xml:space="preserve">The Four Pillars: Malawi's Current Score</w:t>
      </w:r>
    </w:p>
    <w:p>
      <w:pPr>
        <w:spacing w:before="80" w:after="80" w:line="276"/>
        <w:jc w:val="both"/>
      </w:pPr>
      <w:r>
        <w:rPr>
          <w:rFonts w:ascii="Arial" w:cs="Arial" w:eastAsia="Arial" w:hAnsi="Arial"/>
          <w:color w:val="1A2A3A"/>
          <w:sz w:val="20"/>
          <w:szCs w:val="20"/>
        </w:rPr>
        <w:t xml:space="preserve">The EW4All initiative structures national assessment around four pillars: (1) Disaster Risk Knowledge, (2) Detection, Observation and Forecasting, (3) Warning Dissemination and Communication, and (4) Preparedness and Response. Malawi's strength is concentrated in Pillar 2, where DCCMS has made measurable investments. Its critical weakness lies in Pillars 3 and 4 — the dissemination infrastructure and the community-level preparedness that converts a warning signal into a survival action.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Borders>
              <w:top w:val="single" w:color="E07B39" w:sz="1"/>
              <w:left w:val="single" w:color="E07B39" w:sz="1"/>
              <w:bottom w:val="single" w:color="E07B39" w:sz="1"/>
              <w:right w:val="single" w:color="E07B39" w:sz="1"/>
            </w:tcBorders>
            <w:shd w:fill="FDF3E9" w:val="clear"/>
            <w:tcMar>
              <w:top w:type="dxa" w:w="120"/>
              <w:left w:type="dxa" w:w="120"/>
              <w:bottom w:type="dxa" w:w="120"/>
              <w:right w:type="dxa" w:w="120"/>
            </w:tcMar>
            <w:vAlign w:val="center"/>
          </w:tcPr>
          <w:p>
            <w:pPr>
              <w:jc w:val="center"/>
            </w:pPr>
            <w:r>
              <w:rPr>
                <w:rFonts w:ascii="Arial" w:cs="Arial" w:eastAsia="Arial" w:hAnsi="Arial"/>
                <w:b/>
                <w:bCs/>
                <w:color w:val="E07B39"/>
                <w:sz w:val="40"/>
                <w:szCs w:val="40"/>
              </w:rPr>
              <w:t xml:space="preserve">●●○○</w:t>
            </w:r>
          </w:p>
          <w:p>
            <w:pPr>
              <w:jc w:val="center"/>
            </w:pPr>
            <w:r>
              <w:rPr>
                <w:rFonts w:ascii="Arial" w:cs="Arial" w:eastAsia="Arial" w:hAnsi="Arial"/>
                <w:color w:val="5A6A7A"/>
                <w:sz w:val="16"/>
                <w:szCs w:val="16"/>
              </w:rPr>
              <w:t xml:space="preserve">Pillar 1: Risk Knowledge</w:t>
            </w:r>
          </w:p>
        </w:tc>
        <w:tc>
          <w:tcPr>
            <w:tcBorders>
              <w:top w:val="single" w:color="27AE60" w:sz="1"/>
              <w:left w:val="single" w:color="27AE60" w:sz="1"/>
              <w:bottom w:val="single" w:color="27AE60" w:sz="1"/>
              <w:right w:val="single" w:color="27AE60" w:sz="1"/>
            </w:tcBorders>
            <w:shd w:fill="E8F7EE" w:val="clear"/>
            <w:tcMar>
              <w:top w:type="dxa" w:w="120"/>
              <w:left w:type="dxa" w:w="120"/>
              <w:bottom w:type="dxa" w:w="120"/>
              <w:right w:type="dxa" w:w="120"/>
            </w:tcMar>
            <w:vAlign w:val="center"/>
          </w:tcPr>
          <w:p>
            <w:pPr>
              <w:jc w:val="center"/>
            </w:pPr>
            <w:r>
              <w:rPr>
                <w:rFonts w:ascii="Arial" w:cs="Arial" w:eastAsia="Arial" w:hAnsi="Arial"/>
                <w:b/>
                <w:bCs/>
                <w:color w:val="27AE60"/>
                <w:sz w:val="40"/>
                <w:szCs w:val="40"/>
              </w:rPr>
              <w:t xml:space="preserve">●●●○</w:t>
            </w:r>
          </w:p>
          <w:p>
            <w:pPr>
              <w:jc w:val="center"/>
            </w:pPr>
            <w:r>
              <w:rPr>
                <w:rFonts w:ascii="Arial" w:cs="Arial" w:eastAsia="Arial" w:hAnsi="Arial"/>
                <w:color w:val="5A6A7A"/>
                <w:sz w:val="16"/>
                <w:szCs w:val="16"/>
              </w:rPr>
              <w:t xml:space="preserve">Pillar 2: Detection &amp; Forecasting</w:t>
            </w:r>
          </w:p>
        </w:tc>
        <w:tc>
          <w:tcPr>
            <w:tcBorders>
              <w:top w:val="single" w:color="C0392B" w:sz="1"/>
              <w:left w:val="single" w:color="C0392B" w:sz="1"/>
              <w:bottom w:val="single" w:color="C0392B" w:sz="1"/>
              <w:right w:val="single" w:color="C0392B" w:sz="1"/>
            </w:tcBorders>
            <w:shd w:fill="FDE8E8" w:val="clear"/>
            <w:tcMar>
              <w:top w:type="dxa" w:w="120"/>
              <w:left w:type="dxa" w:w="120"/>
              <w:bottom w:type="dxa" w:w="120"/>
              <w:right w:type="dxa" w:w="120"/>
            </w:tcMar>
            <w:vAlign w:val="center"/>
          </w:tcPr>
          <w:p>
            <w:pPr>
              <w:jc w:val="center"/>
            </w:pPr>
            <w:r>
              <w:rPr>
                <w:rFonts w:ascii="Arial" w:cs="Arial" w:eastAsia="Arial" w:hAnsi="Arial"/>
                <w:b/>
                <w:bCs/>
                <w:color w:val="C0392B"/>
                <w:sz w:val="40"/>
                <w:szCs w:val="40"/>
              </w:rPr>
              <w:t xml:space="preserve">●○○○</w:t>
            </w:r>
          </w:p>
          <w:p>
            <w:pPr>
              <w:jc w:val="center"/>
            </w:pPr>
            <w:r>
              <w:rPr>
                <w:rFonts w:ascii="Arial" w:cs="Arial" w:eastAsia="Arial" w:hAnsi="Arial"/>
                <w:color w:val="5A6A7A"/>
                <w:sz w:val="16"/>
                <w:szCs w:val="16"/>
              </w:rPr>
              <w:t xml:space="preserve">Pillar 3: Dissemination</w:t>
            </w:r>
          </w:p>
        </w:tc>
        <w:tc>
          <w:tcPr>
            <w:tcBorders>
              <w:top w:val="single" w:color="E07B39" w:sz="1"/>
              <w:left w:val="single" w:color="E07B39" w:sz="1"/>
              <w:bottom w:val="single" w:color="E07B39" w:sz="1"/>
              <w:right w:val="single" w:color="E07B39" w:sz="1"/>
            </w:tcBorders>
            <w:shd w:fill="FDF3E9" w:val="clear"/>
            <w:tcMar>
              <w:top w:type="dxa" w:w="120"/>
              <w:left w:type="dxa" w:w="120"/>
              <w:bottom w:type="dxa" w:w="120"/>
              <w:right w:type="dxa" w:w="120"/>
            </w:tcMar>
            <w:vAlign w:val="center"/>
          </w:tcPr>
          <w:p>
            <w:pPr>
              <w:jc w:val="center"/>
            </w:pPr>
            <w:r>
              <w:rPr>
                <w:rFonts w:ascii="Arial" w:cs="Arial" w:eastAsia="Arial" w:hAnsi="Arial"/>
                <w:b/>
                <w:bCs/>
                <w:color w:val="E07B39"/>
                <w:sz w:val="40"/>
                <w:szCs w:val="40"/>
              </w:rPr>
              <w:t xml:space="preserve">●●○○</w:t>
            </w:r>
          </w:p>
          <w:p>
            <w:pPr>
              <w:jc w:val="center"/>
            </w:pPr>
            <w:r>
              <w:rPr>
                <w:rFonts w:ascii="Arial" w:cs="Arial" w:eastAsia="Arial" w:hAnsi="Arial"/>
                <w:color w:val="5A6A7A"/>
                <w:sz w:val="16"/>
                <w:szCs w:val="16"/>
              </w:rPr>
              <w:t xml:space="preserve">Pillar 4: Response Capacity</w:t>
            </w:r>
          </w:p>
        </w:tc>
      </w:tr>
    </w:tbl>
    <w:p>
      <w:pPr>
        <w:spacing w:before="0" w:after="60"/>
      </w:pPr>
      <w:r>
        <w:t xml:space="preserve"/>
      </w:r>
    </w:p>
    <w:p>
      <w:pPr>
        <w:spacing w:before="80" w:after="80" w:line="276"/>
        <w:jc w:val="both"/>
      </w:pPr>
      <w:r>
        <w:rPr>
          <w:rFonts w:ascii="Arial" w:cs="Arial" w:eastAsia="Arial" w:hAnsi="Arial"/>
          <w:color w:val="1A2A3A"/>
          <w:sz w:val="20"/>
          <w:szCs w:val="20"/>
        </w:rPr>
        <w:t xml:space="preserve">The community-level evidence is revealing. In Mzuzu and Zomba, DRR Committee member Prince Ngulebe explained that warnings arrive via WhatsApp and are manually relayed household-to-household by block leaders. This human relay system is admirable in its community ownership but catastrophic in its scalability: it depends on smartphone access, stable data connectivity, and the physical availability of volunteer leaders — none of which can be guaranteed in a flood emergency.</w:t>
      </w:r>
    </w:p>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1.2  The Caribbean SIDS Parallel: Antigua and Barbuda</w:t>
      </w:r>
    </w:p>
    <w:p>
      <w:pPr>
        <w:spacing w:before="80" w:after="80" w:line="276"/>
        <w:jc w:val="both"/>
      </w:pPr>
      <w:r>
        <w:rPr>
          <w:rFonts w:ascii="Arial" w:cs="Arial" w:eastAsia="Arial" w:hAnsi="Arial"/>
          <w:color w:val="1A2A3A"/>
          <w:sz w:val="20"/>
          <w:szCs w:val="20"/>
        </w:rPr>
        <w:t xml:space="preserve">The Caribbean mirrors Malawi's last-mile challenge but through a different structural lens. As the UNDRR MHEWS 2024 report notes, Antigua and Barbuda's EW4All Implementation Plan is notable for its 'truly coordinated process amongst multiple stakeholders,' with detailed budgeting and timeframes. Yet only 43% of Small Island Developing States globally have reported having multi-hazard early warning systems in place — the lowest of any country group. The Caribbean's challenge is not meteorological infrastructure but institutional fragmentation across small island jurisdictions, where a regional alert may be technically broadcast but locally interpreted through wildly different governance structures, languages, and cultural frameworks.</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E8F4F2" w:sz="1"/>
              <w:left w:val="single" w:color="E8F4F2" w:sz="1"/>
              <w:bottom w:val="single" w:color="E8F4F2" w:sz="1"/>
              <w:right w:val="single" w:color="E8F4F2" w:sz="1"/>
            </w:tcBorders>
            <w:shd w:fill="1A7A6E"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KEY FINDING</w:t>
            </w:r>
          </w:p>
        </w:tc>
        <w:tc>
          <w:tcPr>
            <w:tcBorders>
              <w:top w:val="single" w:color="E8F4F2" w:sz="1"/>
              <w:left w:val="single" w:color="E8F4F2" w:sz="1"/>
              <w:bottom w:val="single" w:color="E8F4F2" w:sz="1"/>
              <w:right w:val="single" w:color="E8F4F2" w:sz="1"/>
            </w:tcBorders>
            <w:shd w:fill="E8F4F2" w:val="clear"/>
            <w:tcMar>
              <w:top w:type="dxa" w:w="120"/>
              <w:left w:type="dxa" w:w="160"/>
              <w:bottom w:type="dxa" w:w="120"/>
              <w:right w:type="dxa" w:w="160"/>
            </w:tcMar>
          </w:tcPr>
          <w:p>
            <w:r>
              <w:rPr>
                <w:rFonts w:ascii="Arial" w:cs="Arial" w:eastAsia="Arial" w:hAnsi="Arial"/>
                <w:color w:val="1A2A3A"/>
                <w:sz w:val="20"/>
                <w:szCs w:val="20"/>
              </w:rPr>
              <w:t xml:space="preserve">Coverage (C_coverage) without Actionability (A_action) is a false metric of safety. A warning that reaches 80% of the population but is acted upon by only 20% produces an E_warning of 0.16 — dramatically lower than a warning reaching 60% of people with 70% acting on it, which yields 0.42.</w:t>
            </w:r>
          </w:p>
        </w:tc>
      </w:tr>
    </w:tbl>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7A6E" w:sz="1"/>
              <w:left w:val="single" w:color="1A7A6E" w:sz="1"/>
              <w:bottom w:val="single" w:color="1A7A6E" w:sz="1"/>
              <w:right w:val="single" w:color="1A7A6E" w:sz="1"/>
            </w:tcBorders>
            <w:shd w:fill="1A7A6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SECTION 2: THE WARNING EFFICIENCY MODEL</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2.1  Formalizing Warning Effectiveness</w:t>
      </w:r>
    </w:p>
    <w:p>
      <w:pPr>
        <w:spacing w:before="80" w:after="80" w:line="276"/>
        <w:jc w:val="both"/>
      </w:pPr>
      <w:r>
        <w:rPr>
          <w:rFonts w:ascii="Arial" w:cs="Arial" w:eastAsia="Arial" w:hAnsi="Arial"/>
          <w:color w:val="1A2A3A"/>
          <w:sz w:val="20"/>
          <w:szCs w:val="20"/>
        </w:rPr>
        <w:t xml:space="preserve">The WMO 2026 Prediction Standards establish a tripartite framework for evaluating early warning system performance. The Warning Efficiency Model quantifies the degree to which a system achieves its fundamental purpose: saving lives through timely, understood, and acted-upon information.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7A6E" w:sz="1"/>
              <w:left w:val="single" w:color="1A7A6E" w:sz="1"/>
              <w:bottom w:val="single" w:color="1A7A6E" w:sz="1"/>
              <w:right w:val="single" w:color="1A7A6E" w:sz="1"/>
            </w:tcBorders>
            <w:shd w:fill="E8F4F2" w:val="clear"/>
            <w:tcMar>
              <w:top w:type="dxa" w:w="140"/>
              <w:left w:type="dxa" w:w="280"/>
              <w:bottom w:type="dxa" w:w="140"/>
              <w:right w:type="dxa" w:w="280"/>
            </w:tcMar>
          </w:tcPr>
          <w:p>
            <w:pPr>
              <w:jc w:val="center"/>
            </w:pPr>
            <w:r>
              <w:rPr>
                <w:rFonts w:ascii="Courier New" w:cs="Courier New" w:eastAsia="Courier New" w:hAnsi="Courier New"/>
                <w:b/>
                <w:bCs/>
                <w:color w:val="1A3C5E"/>
                <w:sz w:val="24"/>
                <w:szCs w:val="24"/>
              </w:rPr>
              <w:t xml:space="preserve">E_warning  =  P_accuracy  ×  C_coverage  ×  A_action</w:t>
            </w:r>
          </w:p>
        </w:tc>
      </w:tr>
    </w:tbl>
    <w:p>
      <w:pPr>
        <w:spacing w:before="0" w:after="60"/>
      </w:pPr>
      <w:r>
        <w:t xml:space="preserve"/>
      </w:r>
    </w:p>
    <w:p>
      <w:pPr>
        <w:spacing w:before="80" w:after="80" w:line="276"/>
        <w:jc w:val="both"/>
      </w:pPr>
      <w:r>
        <w:rPr>
          <w:rFonts w:ascii="Arial" w:cs="Arial" w:eastAsia="Arial" w:hAnsi="Arial"/>
          <w:color w:val="1A2A3A"/>
          <w:sz w:val="20"/>
          <w:szCs w:val="20"/>
        </w:rPr>
        <w:t xml:space="preserve">This formula encodes a profound epistemic insight: the three factors are multiplicative, not additive. A system that scores perfectly on two dimensions but fails on the third still produces near-zero effectiveness. This is not a theoretical abstraction — it is the documented reality of early warning failures across LDCs and SIDS.</w:t>
      </w:r>
    </w:p>
    <w:p>
      <w:pPr>
        <w:spacing w:before="0" w:after="120"/>
      </w:pPr>
      <w:r>
        <w:t xml:space="preserve"/>
      </w:r>
    </w:p>
    <w:p>
      <w:pPr>
        <w:pStyle w:val="Heading3"/>
        <w:spacing w:before="200" w:after="80"/>
      </w:pPr>
      <w:r>
        <w:rPr>
          <w:rFonts w:ascii="Arial" w:cs="Arial" w:eastAsia="Arial" w:hAnsi="Arial"/>
          <w:b/>
          <w:bCs/>
          <w:color w:val="E07B39"/>
          <w:sz w:val="22"/>
          <w:szCs w:val="22"/>
        </w:rPr>
        <w:t xml:space="preserve">Component Definitions</w:t>
      </w:r>
    </w:p>
    <w:p>
      <w:pPr>
        <w:pStyle w:val="ListParagraph"/>
        <w:numPr>
          <w:ilvl w:val="0"/>
          <w:numId w:val="2"/>
        </w:numPr>
        <w:spacing w:before="60" w:after="60"/>
      </w:pPr>
      <w:r>
        <w:rPr>
          <w:rFonts w:ascii="Arial" w:cs="Arial" w:eastAsia="Arial" w:hAnsi="Arial"/>
          <w:color w:val="1A2A3A"/>
          <w:sz w:val="20"/>
          <w:szCs w:val="20"/>
        </w:rPr>
        <w:t xml:space="preserve">P_accuracy: The probability that a forecast correctly identifies a hazard event — including its type, location, intensity, and timing — within the lead time required for protective action. AI-enabled ensemble modeling can push this toward 0.85–0.92 for flood and cyclone events.</w:t>
      </w:r>
    </w:p>
    <w:p>
      <w:pPr>
        <w:pStyle w:val="ListParagraph"/>
        <w:numPr>
          <w:ilvl w:val="0"/>
          <w:numId w:val="2"/>
        </w:numPr>
        <w:spacing w:before="60" w:after="60"/>
      </w:pPr>
      <w:r>
        <w:rPr>
          <w:rFonts w:ascii="Arial" w:cs="Arial" w:eastAsia="Arial" w:hAnsi="Arial"/>
          <w:color w:val="1A2A3A"/>
          <w:sz w:val="20"/>
          <w:szCs w:val="20"/>
        </w:rPr>
        <w:t xml:space="preserve">C_coverage: The fraction of the total at-risk population reached by the warning signal, across all dissemination channels (SMS, radio broadcast, community sirens, social media, traditional networks).</w:t>
      </w:r>
    </w:p>
    <w:p>
      <w:pPr>
        <w:pStyle w:val="ListParagraph"/>
        <w:numPr>
          <w:ilvl w:val="0"/>
          <w:numId w:val="2"/>
        </w:numPr>
        <w:spacing w:before="60" w:after="60"/>
      </w:pPr>
      <w:r>
        <w:rPr>
          <w:rFonts w:ascii="Arial" w:cs="Arial" w:eastAsia="Arial" w:hAnsi="Arial"/>
          <w:color w:val="1A2A3A"/>
          <w:sz w:val="20"/>
          <w:szCs w:val="20"/>
        </w:rPr>
        <w:t xml:space="preserve">A_action: The 'actionability index' — the proportion of reached individuals who both understand the warning's meaning and physically execute a protective response (evacuation, shelter-in-place, stockpiling, etc.).</w:t>
      </w:r>
    </w:p>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2.2  Why High P_accuracy Is Insufficient Without A_action</w:t>
      </w:r>
    </w:p>
    <w:p>
      <w:pPr>
        <w:spacing w:before="80" w:after="80" w:line="276"/>
        <w:jc w:val="both"/>
      </w:pPr>
      <w:r>
        <w:rPr>
          <w:rFonts w:ascii="Arial" w:cs="Arial" w:eastAsia="Arial" w:hAnsi="Arial"/>
          <w:color w:val="1A2A3A"/>
          <w:sz w:val="20"/>
          <w:szCs w:val="20"/>
        </w:rPr>
        <w:t xml:space="preserve">The fundamental error in technology-first early warning strategies is the implicit assumption that a technically correct forecast, once issued, automatically generates safety. The evidence from Malawi and the Caribbean directly challenges this assumption. Three structural barriers systematically suppress A_action even when P_accuracy and C_coverage are high.</w:t>
      </w:r>
    </w:p>
    <w:p>
      <w:pPr>
        <w:spacing w:before="0" w:after="60"/>
      </w:pPr>
      <w:r>
        <w:t xml:space="preserve"/>
      </w:r>
    </w:p>
    <w:p>
      <w:pPr>
        <w:pStyle w:val="Heading3"/>
        <w:spacing w:before="200" w:after="80"/>
      </w:pPr>
      <w:r>
        <w:rPr>
          <w:rFonts w:ascii="Arial" w:cs="Arial" w:eastAsia="Arial" w:hAnsi="Arial"/>
          <w:b/>
          <w:bCs/>
          <w:color w:val="E07B39"/>
          <w:sz w:val="22"/>
          <w:szCs w:val="22"/>
        </w:rPr>
        <w:t xml:space="preserve">Barrier 1: Language and Literacy Fragmentation</w:t>
      </w:r>
    </w:p>
    <w:p>
      <w:pPr>
        <w:spacing w:before="80" w:after="80" w:line="276"/>
        <w:jc w:val="both"/>
      </w:pPr>
      <w:r>
        <w:rPr>
          <w:rFonts w:ascii="Arial" w:cs="Arial" w:eastAsia="Arial" w:hAnsi="Arial"/>
          <w:color w:val="1A2A3A"/>
          <w:sz w:val="20"/>
          <w:szCs w:val="20"/>
        </w:rPr>
        <w:t xml:space="preserve">Malawi has 13 major ethnic groups and numerous local languages. Official warning communications issued by DCCMS are predominantly in English and Chichewa, leaving Tumbuka, Yao, Lomwe, and other language communities reliant on informal interpretation chains. Each link in the translation chain introduces delay, distortion, and probability of message loss. A technically perfect forecast with P_accuracy = 0.90 arriving in an unintelligible language produces A_action ≈ 0.05 — yielding E_warning ≈ 0.04. The mathematical consequence of language exclusion is catastrophic.</w:t>
      </w:r>
    </w:p>
    <w:p>
      <w:pPr>
        <w:spacing w:before="0" w:after="60"/>
      </w:pPr>
      <w:r>
        <w:t xml:space="preserve"/>
      </w:r>
    </w:p>
    <w:p>
      <w:pPr>
        <w:pStyle w:val="Heading3"/>
        <w:spacing w:before="200" w:after="80"/>
      </w:pPr>
      <w:r>
        <w:rPr>
          <w:rFonts w:ascii="Arial" w:cs="Arial" w:eastAsia="Arial" w:hAnsi="Arial"/>
          <w:b/>
          <w:bCs/>
          <w:color w:val="E07B39"/>
          <w:sz w:val="22"/>
          <w:szCs w:val="22"/>
        </w:rPr>
        <w:t xml:space="preserve">Barrier 2: Poor Local Governance and Institutional Trust</w:t>
      </w:r>
    </w:p>
    <w:p>
      <w:pPr>
        <w:spacing w:before="80" w:after="80" w:line="276"/>
        <w:jc w:val="both"/>
      </w:pPr>
      <w:r>
        <w:rPr>
          <w:rFonts w:ascii="Arial" w:cs="Arial" w:eastAsia="Arial" w:hAnsi="Arial"/>
          <w:color w:val="1A2A3A"/>
          <w:sz w:val="20"/>
          <w:szCs w:val="20"/>
        </w:rPr>
        <w:t xml:space="preserve">The UNDRR January 2026 update highlights that 'common constraints in financing, technology, standards adoption, last-mile coverage and coordination' are reported consistently across EW4All national programs. In Malawi, the DRR institutional architecture depends on DoDMA at the national level cascading to District Disaster Risk Management Committees (DDRMCs). When these committees lack resources, training, or political legitimacy, communities rationally distrust official warnings — particularly when previous alerts proved false or unhelpful. A_action is fundamentally a governance variable, not a technology variable.</w:t>
      </w:r>
    </w:p>
    <w:p>
      <w:pPr>
        <w:spacing w:before="0" w:after="60"/>
      </w:pPr>
      <w:r>
        <w:t xml:space="preserve"/>
      </w:r>
    </w:p>
    <w:p>
      <w:pPr>
        <w:pStyle w:val="Heading3"/>
        <w:spacing w:before="200" w:after="80"/>
      </w:pPr>
      <w:r>
        <w:rPr>
          <w:rFonts w:ascii="Arial" w:cs="Arial" w:eastAsia="Arial" w:hAnsi="Arial"/>
          <w:b/>
          <w:bCs/>
          <w:color w:val="E07B39"/>
          <w:sz w:val="22"/>
          <w:szCs w:val="22"/>
        </w:rPr>
        <w:t xml:space="preserve">Barrier 3: Warning Fatigue and Cultural Incongruence</w:t>
      </w:r>
    </w:p>
    <w:p>
      <w:pPr>
        <w:spacing w:before="80" w:after="80" w:line="276"/>
        <w:jc w:val="both"/>
      </w:pPr>
      <w:r>
        <w:rPr>
          <w:rFonts w:ascii="Arial" w:cs="Arial" w:eastAsia="Arial" w:hAnsi="Arial"/>
          <w:color w:val="1A2A3A"/>
          <w:sz w:val="20"/>
          <w:szCs w:val="20"/>
        </w:rPr>
        <w:t xml:space="preserve">Indigenous communities in Malawi's flood-prone districts have developed their own environmental reading systems — observing bird behavior, river color changes, animal movements, and traditional ecological signs to anticipate hazardous weather. When modern early warning systems issue alerts that contradict or fail to acknowledge these culturally embedded knowledge systems, communities may rationally defer to traditional signals. This is not irrationality — it is a reasonable preference for epistemically trusted sources. Ignoring indigenous warning wisdom guarantees suppressed A_action.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7A6E" w:sz="1"/>
              <w:left w:val="single" w:color="1A7A6E" w:sz="1"/>
              <w:bottom w:val="single" w:color="1A7A6E" w:sz="1"/>
              <w:right w:val="single" w:color="1A7A6E" w:sz="1"/>
            </w:tcBorders>
            <w:shd w:fill="E8F4F2" w:val="clear"/>
            <w:tcMar>
              <w:top w:type="dxa" w:w="140"/>
              <w:left w:type="dxa" w:w="280"/>
              <w:bottom w:type="dxa" w:w="140"/>
              <w:right w:type="dxa" w:w="280"/>
            </w:tcMar>
          </w:tcPr>
          <w:p>
            <w:pPr>
              <w:jc w:val="center"/>
            </w:pPr>
            <w:r>
              <w:rPr>
                <w:rFonts w:ascii="Courier New" w:cs="Courier New" w:eastAsia="Courier New" w:hAnsi="Courier New"/>
                <w:b/>
                <w:bCs/>
                <w:color w:val="1A3C5E"/>
                <w:sz w:val="24"/>
                <w:szCs w:val="24"/>
              </w:rPr>
              <w:t xml:space="preserve">Example:  P = 0.88  ×  C = 0.71  ×  A = 0.12  =  E_warning = 0.075  (7.5% Effective)</w:t>
            </w:r>
          </w:p>
        </w:tc>
      </w:tr>
    </w:tbl>
    <w:p>
      <w:pPr>
        <w:spacing w:before="0" w:after="60"/>
      </w:pPr>
      <w:r>
        <w:t xml:space="preserve"/>
      </w:r>
    </w:p>
    <w:p>
      <w:pPr>
        <w:spacing w:before="80" w:after="80" w:line="276"/>
        <w:jc w:val="both"/>
      </w:pPr>
      <w:r>
        <w:rPr>
          <w:rFonts w:ascii="Arial" w:cs="Arial" w:eastAsia="Arial" w:hAnsi="Arial"/>
          <w:color w:val="1A2A3A"/>
          <w:sz w:val="20"/>
          <w:szCs w:val="20"/>
        </w:rPr>
        <w:t xml:space="preserve">This worked example — closely approximating Malawi's estimated current state — reveals that a system can simultaneously achieve strong forecasting capability, decent population reach, and near-total failure at the community action level. The 2027 goal is not to achieve E_warning &gt; 0.5 across the board, but to identify the binding constraint in each sub-national zone and direct resources accordingly. For Malawi, the binding constraint is A_action — and the solution is not more satellites, but better governance, language access, and cultural integration.</w:t>
      </w:r>
    </w:p>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07B39" w:sz="1"/>
              <w:left w:val="single" w:color="E07B39" w:sz="1"/>
              <w:bottom w:val="single" w:color="E07B39" w:sz="1"/>
              <w:right w:val="single" w:color="E07B39" w:sz="1"/>
            </w:tcBorders>
            <w:shd w:fill="E07B39"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SECTION 3: TECHNOLOGICAL INTEROPERABILITY &amp; DELTA INTEGRATION</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3.1  DELTA Resilience: Real-Time Loss/Damage Synchronization</w:t>
      </w:r>
    </w:p>
    <w:p>
      <w:pPr>
        <w:spacing w:before="80" w:after="80" w:line="276"/>
        <w:jc w:val="both"/>
      </w:pPr>
      <w:r>
        <w:rPr>
          <w:rFonts w:ascii="Arial" w:cs="Arial" w:eastAsia="Arial" w:hAnsi="Arial"/>
          <w:color w:val="1A2A3A"/>
          <w:sz w:val="20"/>
          <w:szCs w:val="20"/>
        </w:rPr>
        <w:t xml:space="preserve">DELTA (Disaster and Extreme Loss Tracking Analytics) represents the emerging frontier of impact-based forecasting — shifting from hazard-based warnings ('Category 3 cyclone expected at 14:00') to impact-based warnings ('3,200 homes and 47 km of road in Chikwawa District at high inundation risk within 18 hours'). For DELTA to function at the last mile, it requires bidirectional data flows between three layers of the national information architecture.</w:t>
      </w:r>
    </w:p>
    <w:p>
      <w:pPr>
        <w:spacing w:before="0" w:after="60"/>
      </w:pPr>
      <w:r>
        <w:t xml:space="preserve"/>
      </w:r>
    </w:p>
    <w:p>
      <w:pPr>
        <w:pStyle w:val="Heading3"/>
        <w:spacing w:before="200" w:after="80"/>
      </w:pPr>
      <w:r>
        <w:rPr>
          <w:rFonts w:ascii="Arial" w:cs="Arial" w:eastAsia="Arial" w:hAnsi="Arial"/>
          <w:b/>
          <w:bCs/>
          <w:color w:val="E07B39"/>
          <w:sz w:val="22"/>
          <w:szCs w:val="22"/>
        </w:rPr>
        <w:t xml:space="preserve">Layer 1 — Satellite and Remote Sensing (Global → National)</w:t>
      </w:r>
    </w:p>
    <w:p>
      <w:pPr>
        <w:spacing w:before="80" w:after="80" w:line="276"/>
        <w:jc w:val="both"/>
      </w:pPr>
      <w:r>
        <w:rPr>
          <w:rFonts w:ascii="Arial" w:cs="Arial" w:eastAsia="Arial" w:hAnsi="Arial"/>
          <w:color w:val="1A2A3A"/>
          <w:sz w:val="20"/>
          <w:szCs w:val="20"/>
        </w:rPr>
        <w:t xml:space="preserve">DELTA ingests data from the Copernicus Emergency Management Service, ESA Sentinel flood mapping, and WMO SWFDP (Severe Weather Forecasting Demonstration Project) regional platforms. In Southern Africa, the SADC Climate Services Centre provides processed ensemble forecasts. Malawi's DCCMS receives these feeds but currently lacks the human capacity and computational infrastructure to transform raw model output into localized, sector-specific impact predictions.</w:t>
      </w:r>
    </w:p>
    <w:p>
      <w:pPr>
        <w:spacing w:before="0" w:after="60"/>
      </w:pPr>
      <w:r>
        <w:t xml:space="preserve"/>
      </w:r>
    </w:p>
    <w:p>
      <w:pPr>
        <w:pStyle w:val="Heading3"/>
        <w:spacing w:before="200" w:after="80"/>
      </w:pPr>
      <w:r>
        <w:rPr>
          <w:rFonts w:ascii="Arial" w:cs="Arial" w:eastAsia="Arial" w:hAnsi="Arial"/>
          <w:b/>
          <w:bCs/>
          <w:color w:val="E07B39"/>
          <w:sz w:val="22"/>
          <w:szCs w:val="22"/>
        </w:rPr>
        <w:t xml:space="preserve">Layer 2 — Mobile Network Operator (MNO) Integration</w:t>
      </w:r>
    </w:p>
    <w:p>
      <w:pPr>
        <w:spacing w:before="80" w:after="80" w:line="276"/>
        <w:jc w:val="both"/>
      </w:pPr>
      <w:r>
        <w:rPr>
          <w:rFonts w:ascii="Arial" w:cs="Arial" w:eastAsia="Arial" w:hAnsi="Arial"/>
          <w:color w:val="1A2A3A"/>
          <w:sz w:val="20"/>
          <w:szCs w:val="20"/>
        </w:rPr>
        <w:t xml:space="preserve">The proposed DELTA-MNO bridge is the technical keystone of this roadmap. Malawi's three major mobile operators — Airtel Malawi, TNM Malawi, and Access Communications — together reach approximately 74% of the population via GSM networks. A real-time API integration between DCCMS forecast systems and MNO emergency broadcast platforms would enable the following cascade within the alert pipeline:</w:t>
      </w:r>
    </w:p>
    <w:p>
      <w:pPr>
        <w:pStyle w:val="ListParagraph"/>
        <w:numPr>
          <w:ilvl w:val="0"/>
          <w:numId w:val="2"/>
        </w:numPr>
        <w:spacing w:before="60" w:after="60"/>
      </w:pPr>
      <w:r>
        <w:rPr>
          <w:rFonts w:ascii="Arial" w:cs="Arial" w:eastAsia="Arial" w:hAnsi="Arial"/>
          <w:color w:val="1A2A3A"/>
          <w:sz w:val="20"/>
          <w:szCs w:val="20"/>
        </w:rPr>
        <w:t xml:space="preserve">Impact-based forecast generated by DCCMS AI system (18–72 hour lead time)</w:t>
      </w:r>
    </w:p>
    <w:p>
      <w:pPr>
        <w:pStyle w:val="ListParagraph"/>
        <w:numPr>
          <w:ilvl w:val="0"/>
          <w:numId w:val="2"/>
        </w:numPr>
        <w:spacing w:before="60" w:after="60"/>
      </w:pPr>
      <w:r>
        <w:rPr>
          <w:rFonts w:ascii="Arial" w:cs="Arial" w:eastAsia="Arial" w:hAnsi="Arial"/>
          <w:color w:val="1A2A3A"/>
          <w:sz w:val="20"/>
          <w:szCs w:val="20"/>
        </w:rPr>
        <w:t xml:space="preserve">DELTA loss/damage severity index computed by district (low / medium / high / extreme)</w:t>
      </w:r>
    </w:p>
    <w:p>
      <w:pPr>
        <w:pStyle w:val="ListParagraph"/>
        <w:numPr>
          <w:ilvl w:val="0"/>
          <w:numId w:val="2"/>
        </w:numPr>
        <w:spacing w:before="60" w:after="60"/>
      </w:pPr>
      <w:r>
        <w:rPr>
          <w:rFonts w:ascii="Arial" w:cs="Arial" w:eastAsia="Arial" w:hAnsi="Arial"/>
          <w:color w:val="1A2A3A"/>
          <w:sz w:val="20"/>
          <w:szCs w:val="20"/>
        </w:rPr>
        <w:t xml:space="preserve">Automated SMS alert triggered to all registered subscribers in affected cell tower zones</w:t>
      </w:r>
    </w:p>
    <w:p>
      <w:pPr>
        <w:pStyle w:val="ListParagraph"/>
        <w:numPr>
          <w:ilvl w:val="0"/>
          <w:numId w:val="2"/>
        </w:numPr>
        <w:spacing w:before="60" w:after="60"/>
      </w:pPr>
      <w:r>
        <w:rPr>
          <w:rFonts w:ascii="Arial" w:cs="Arial" w:eastAsia="Arial" w:hAnsi="Arial"/>
          <w:color w:val="1A2A3A"/>
          <w:sz w:val="20"/>
          <w:szCs w:val="20"/>
        </w:rPr>
        <w:t xml:space="preserve">Cell Broadcast (CBS) secondary message pushed to all active handsets regardless of registration status</w:t>
      </w:r>
    </w:p>
    <w:p>
      <w:pPr>
        <w:pStyle w:val="ListParagraph"/>
        <w:numPr>
          <w:ilvl w:val="0"/>
          <w:numId w:val="2"/>
        </w:numPr>
        <w:spacing w:before="60" w:after="60"/>
      </w:pPr>
      <w:r>
        <w:rPr>
          <w:rFonts w:ascii="Arial" w:cs="Arial" w:eastAsia="Arial" w:hAnsi="Arial"/>
          <w:color w:val="1A2A3A"/>
          <w:sz w:val="20"/>
          <w:szCs w:val="20"/>
        </w:rPr>
        <w:t xml:space="preserve">Simultaneously, alert transmitted to community radio broadcasting network for analog relay</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E8F4F2" w:sz="1"/>
              <w:left w:val="single" w:color="E8F4F2" w:sz="1"/>
              <w:bottom w:val="single" w:color="E8F4F2" w:sz="1"/>
              <w:right w:val="single" w:color="E8F4F2" w:sz="1"/>
            </w:tcBorders>
            <w:shd w:fill="1A7A6E"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INNOVATION</w:t>
            </w:r>
          </w:p>
        </w:tc>
        <w:tc>
          <w:tcPr>
            <w:tcBorders>
              <w:top w:val="single" w:color="E8F4F2" w:sz="1"/>
              <w:left w:val="single" w:color="E8F4F2" w:sz="1"/>
              <w:bottom w:val="single" w:color="E8F4F2" w:sz="1"/>
              <w:right w:val="single" w:color="E8F4F2" w:sz="1"/>
            </w:tcBorders>
            <w:shd w:fill="E8F4F2" w:val="clear"/>
            <w:tcMar>
              <w:top w:type="dxa" w:w="120"/>
              <w:left w:type="dxa" w:w="160"/>
              <w:bottom w:type="dxa" w:w="120"/>
              <w:right w:type="dxa" w:w="160"/>
            </w:tcMar>
          </w:tcPr>
          <w:p>
            <w:r>
              <w:rPr>
                <w:rFonts w:ascii="Arial" w:cs="Arial" w:eastAsia="Arial" w:hAnsi="Arial"/>
                <w:color w:val="1A2A3A"/>
                <w:sz w:val="20"/>
                <w:szCs w:val="20"/>
              </w:rPr>
              <w:t xml:space="preserve">The DELTA-MNO bridge enables geographic targeting: a flood warning in Chikwawa can be delivered without alerting Mzimba 400 km to the north, reducing warning fatigue and improving signal-to-noise ratio across the population.</w:t>
            </w:r>
          </w:p>
        </w:tc>
      </w:tr>
    </w:tbl>
    <w:p>
      <w:pPr>
        <w:spacing w:before="0" w:after="60"/>
      </w:pPr>
      <w:r>
        <w:t xml:space="preserve"/>
      </w:r>
    </w:p>
    <w:p>
      <w:pPr>
        <w:pStyle w:val="Heading3"/>
        <w:spacing w:before="200" w:after="80"/>
      </w:pPr>
      <w:r>
        <w:rPr>
          <w:rFonts w:ascii="Arial" w:cs="Arial" w:eastAsia="Arial" w:hAnsi="Arial"/>
          <w:b/>
          <w:bCs/>
          <w:color w:val="E07B39"/>
          <w:sz w:val="22"/>
          <w:szCs w:val="22"/>
        </w:rPr>
        <w:t xml:space="preserve">Layer 3 — Community Last-Mile Interface</w:t>
      </w:r>
    </w:p>
    <w:p>
      <w:pPr>
        <w:spacing w:before="80" w:after="80" w:line="276"/>
        <w:jc w:val="both"/>
      </w:pPr>
      <w:r>
        <w:rPr>
          <w:rFonts w:ascii="Arial" w:cs="Arial" w:eastAsia="Arial" w:hAnsi="Arial"/>
          <w:color w:val="1A2A3A"/>
          <w:sz w:val="20"/>
          <w:szCs w:val="20"/>
        </w:rPr>
        <w:t xml:space="preserve">For the estimated 26% of the population outside mobile coverage — predominantly in remote mountain and lakeshore communities — the roadmap proposes a network of 180 solar-powered Community Alert Terminals (CATs): ruggedized FM/AM radio rebroadcast nodes co-located with health posts, church buildings, and traditional authority headquarters. Each CAT is maintained by a trained Community Alert Focal Person (CAFP), integrating modern signal reception with indigenous knowledge dissemination.</w:t>
      </w:r>
    </w:p>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3.2  Impact-Based Forecasting: What the Weather Will DO, Not What It Is</w:t>
      </w:r>
    </w:p>
    <w:p>
      <w:pPr>
        <w:spacing w:before="80" w:after="80" w:line="276"/>
        <w:jc w:val="both"/>
      </w:pPr>
      <w:r>
        <w:rPr>
          <w:rFonts w:ascii="Arial" w:cs="Arial" w:eastAsia="Arial" w:hAnsi="Arial"/>
          <w:color w:val="1A2A3A"/>
          <w:sz w:val="20"/>
          <w:szCs w:val="20"/>
        </w:rPr>
        <w:t xml:space="preserve">The distinction between hazard forecasting and impact-based forecasting (IBF) is the operational core of the 2027 agenda. Djibouti's October 2025 workshop, facilitated by CIMA Research Foundation and UNDRR, demonstrated the methodology: by integrating hazard probability maps with district-level exposure data (population density, housing quality, infrastructure vulnerability) and vulnerability indices (poverty rates, disability prevalence, agricultural dependence), IBF produces action-ready messages calibrated to specific audience groups.</w:t>
      </w:r>
    </w:p>
    <w:p>
      <w:pPr>
        <w:spacing w:before="0" w:after="60"/>
      </w:pPr>
      <w:r>
        <w:t xml:space="preserve"/>
      </w:r>
    </w:p>
    <w:p>
      <w:pPr>
        <w:spacing w:before="80" w:after="80" w:line="276"/>
        <w:jc w:val="both"/>
      </w:pPr>
      <w:r>
        <w:rPr>
          <w:rFonts w:ascii="Arial" w:cs="Arial" w:eastAsia="Arial" w:hAnsi="Arial"/>
          <w:color w:val="1A2A3A"/>
          <w:sz w:val="20"/>
          <w:szCs w:val="20"/>
        </w:rPr>
        <w:t xml:space="preserve">For Malawi, this means a flood forecast for the Shire Valley is not issued as 'heavy rains expected' but as: 'Flooding 80% likely in Nsanje and Chikwawa by 06:00 Tuesday. Approximately 15,000 people in flood-prone areas. Farmers: harvest now. Village heads: activate evacuation to designated high-ground sites. Hospitals: prepare surge capacity.' This is the language of A_action — specific, role-differentiated, and actionable within the cultural and institutional contexts that communities actually inhabit.</w:t>
      </w:r>
    </w:p>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7AE60" w:sz="1"/>
              <w:left w:val="single" w:color="27AE60" w:sz="1"/>
              <w:bottom w:val="single" w:color="27AE60" w:sz="1"/>
              <w:right w:val="single" w:color="27AE60" w:sz="1"/>
            </w:tcBorders>
            <w:shd w:fill="27AE60"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SECTION 4: THE HUMAN-CENTRIC FILTER — LOCALLY LED DRR</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4.1  The Indigenous Wisdom Integration Protocol (IWIP)</w:t>
      </w:r>
    </w:p>
    <w:p>
      <w:pPr>
        <w:spacing w:before="80" w:after="80" w:line="276"/>
        <w:jc w:val="both"/>
      </w:pPr>
      <w:r>
        <w:rPr>
          <w:rFonts w:ascii="Arial" w:cs="Arial" w:eastAsia="Arial" w:hAnsi="Arial"/>
          <w:color w:val="1A2A3A"/>
          <w:sz w:val="20"/>
          <w:szCs w:val="20"/>
        </w:rPr>
        <w:t xml:space="preserve">The IWIP is the roadmap's most distinctive contribution — a structured methodology for embedding traditional ecological knowledge (TEK) into digital alert systems. Rather than treating indigenous warning signals as folklore to be replaced by modern forecasting, the IWIP positions TEK as a complementary validation layer that increases community trust and improves last-mile A_action.</w:t>
      </w:r>
    </w:p>
    <w:p>
      <w:pPr>
        <w:spacing w:before="0" w:after="60"/>
      </w:pPr>
      <w:r>
        <w:t xml:space="preserve"/>
      </w:r>
    </w:p>
    <w:p>
      <w:pPr>
        <w:pStyle w:val="Heading3"/>
        <w:spacing w:before="200" w:after="80"/>
      </w:pPr>
      <w:r>
        <w:rPr>
          <w:rFonts w:ascii="Arial" w:cs="Arial" w:eastAsia="Arial" w:hAnsi="Arial"/>
          <w:b/>
          <w:bCs/>
          <w:color w:val="E07B39"/>
          <w:sz w:val="22"/>
          <w:szCs w:val="22"/>
        </w:rPr>
        <w:t xml:space="preserve">Phase A: Knowledge Harvest (2026)</w:t>
      </w:r>
    </w:p>
    <w:p>
      <w:pPr>
        <w:spacing w:before="80" w:after="80" w:line="276"/>
        <w:jc w:val="both"/>
      </w:pPr>
      <w:r>
        <w:rPr>
          <w:rFonts w:ascii="Arial" w:cs="Arial" w:eastAsia="Arial" w:hAnsi="Arial"/>
          <w:color w:val="1A2A3A"/>
          <w:sz w:val="20"/>
          <w:szCs w:val="20"/>
        </w:rPr>
        <w:t xml:space="preserve">District-level workshops convene Traditional Authority leaders, elder women farmers, fishers on Lake Malawi, and pastoralists to document environmental indicators historically used to predict weather hazards. These include: behavior of specific bird species (e.g., the Hadada Ibis clustering before rain), water temperature and color changes in the Shire River, unusual animal movements toward higher ground, and specific plant flowering patterns correlated with seasonal flood onset. Documentation is conducted in local languages and stored in a geospatially tagged Community Knowledge Repository managed by DoDMA.</w:t>
      </w:r>
    </w:p>
    <w:p>
      <w:pPr>
        <w:spacing w:before="0" w:after="60"/>
      </w:pPr>
      <w:r>
        <w:t xml:space="preserve"/>
      </w:r>
    </w:p>
    <w:p>
      <w:pPr>
        <w:pStyle w:val="Heading3"/>
        <w:spacing w:before="200" w:after="80"/>
      </w:pPr>
      <w:r>
        <w:rPr>
          <w:rFonts w:ascii="Arial" w:cs="Arial" w:eastAsia="Arial" w:hAnsi="Arial"/>
          <w:b/>
          <w:bCs/>
          <w:color w:val="E07B39"/>
          <w:sz w:val="22"/>
          <w:szCs w:val="22"/>
        </w:rPr>
        <w:t xml:space="preserve">Phase B: Scientific Cross-Validation (2026–2027)</w:t>
      </w:r>
    </w:p>
    <w:p>
      <w:pPr>
        <w:spacing w:before="80" w:after="80" w:line="276"/>
        <w:jc w:val="both"/>
      </w:pPr>
      <w:r>
        <w:rPr>
          <w:rFonts w:ascii="Arial" w:cs="Arial" w:eastAsia="Arial" w:hAnsi="Arial"/>
          <w:color w:val="1A2A3A"/>
          <w:sz w:val="20"/>
          <w:szCs w:val="20"/>
        </w:rPr>
        <w:t xml:space="preserve">DCCMS meteorologists and partner universities conduct retrospective correlation analysis between documented TEK indicators and historical meteorological records. Where significant predictive correlation is identified, TEK signals are integrated into DELTA's data ingestion layer as qualitative community observation inputs. This creates a hybrid forecasting system that can issue higher-confidence alerts when both scientific models AND community environmental signals converge.</w:t>
      </w:r>
    </w:p>
    <w:p>
      <w:pPr>
        <w:spacing w:before="0" w:after="60"/>
      </w:pPr>
      <w:r>
        <w:t xml:space="preserve"/>
      </w:r>
    </w:p>
    <w:p>
      <w:pPr>
        <w:pStyle w:val="Heading3"/>
        <w:spacing w:before="200" w:after="80"/>
      </w:pPr>
      <w:r>
        <w:rPr>
          <w:rFonts w:ascii="Arial" w:cs="Arial" w:eastAsia="Arial" w:hAnsi="Arial"/>
          <w:b/>
          <w:bCs/>
          <w:color w:val="E07B39"/>
          <w:sz w:val="22"/>
          <w:szCs w:val="22"/>
        </w:rPr>
        <w:t xml:space="preserve">Phase C: Alert Co-Design (2027 onward)</w:t>
      </w:r>
    </w:p>
    <w:p>
      <w:pPr>
        <w:spacing w:before="80" w:after="80" w:line="276"/>
        <w:jc w:val="both"/>
      </w:pPr>
      <w:r>
        <w:rPr>
          <w:rFonts w:ascii="Arial" w:cs="Arial" w:eastAsia="Arial" w:hAnsi="Arial"/>
          <w:color w:val="1A2A3A"/>
          <w:sz w:val="20"/>
          <w:szCs w:val="20"/>
        </w:rPr>
        <w:t xml:space="preserve">All official warning messages are co-designed with District Disaster Risk Management Committees to ensure they are issued in local languages, reference familiar landscape features (e.g., 'water will reach the Msamba fig tree level' rather than '1.2 metre inundation'), and include role-specific instructions for village headmen, mothers with young children, farmers, and persons with disabilities.</w:t>
      </w:r>
    </w:p>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4.2  The Protocol for Offline Last-Mile Alert Translation</w:t>
      </w:r>
    </w:p>
    <w:p>
      <w:pPr>
        <w:spacing w:before="80" w:after="80" w:line="276"/>
        <w:jc w:val="both"/>
      </w:pPr>
      <w:r>
        <w:rPr>
          <w:rFonts w:ascii="Arial" w:cs="Arial" w:eastAsia="Arial" w:hAnsi="Arial"/>
          <w:color w:val="1A2A3A"/>
          <w:sz w:val="20"/>
          <w:szCs w:val="20"/>
        </w:rPr>
        <w:t xml:space="preserve">For communities without consistent internet access — which represents the majority of Malawi's 20 million rural residents — the roadmap specifies a five-stage offline cascade protocol:</w:t>
      </w:r>
    </w:p>
    <w:p>
      <w:pPr>
        <w:spacing w:before="0" w:after="60"/>
      </w:pPr>
      <w:r>
        <w:t xml:space="preserve"/>
      </w:r>
    </w:p>
    <w:p>
      <w:pPr>
        <w:pStyle w:val="ListParagraph"/>
        <w:numPr>
          <w:ilvl w:val="0"/>
          <w:numId w:val="2"/>
        </w:numPr>
        <w:spacing w:before="60" w:after="60"/>
      </w:pPr>
      <w:r>
        <w:rPr>
          <w:rFonts w:ascii="Arial" w:cs="Arial" w:eastAsia="Arial" w:hAnsi="Arial"/>
          <w:color w:val="1A2A3A"/>
          <w:sz w:val="20"/>
          <w:szCs w:val="20"/>
        </w:rPr>
        <w:t xml:space="preserve">Stage 1 — DIGITAL TRIGGER: DCCMS AI system issues IBF alert via DELTA platform.</w:t>
      </w:r>
    </w:p>
    <w:p>
      <w:pPr>
        <w:pStyle w:val="ListParagraph"/>
        <w:numPr>
          <w:ilvl w:val="0"/>
          <w:numId w:val="2"/>
        </w:numPr>
        <w:spacing w:before="60" w:after="60"/>
      </w:pPr>
      <w:r>
        <w:rPr>
          <w:rFonts w:ascii="Arial" w:cs="Arial" w:eastAsia="Arial" w:hAnsi="Arial"/>
          <w:color w:val="1A2A3A"/>
          <w:sz w:val="20"/>
          <w:szCs w:val="20"/>
        </w:rPr>
        <w:t xml:space="preserve">Stage 2 — MNO BROADCAST: SMS and cell broadcast message reaches all devices within affected tower zones (~74% of population).</w:t>
      </w:r>
    </w:p>
    <w:p>
      <w:pPr>
        <w:pStyle w:val="ListParagraph"/>
        <w:numPr>
          <w:ilvl w:val="0"/>
          <w:numId w:val="2"/>
        </w:numPr>
        <w:spacing w:before="60" w:after="60"/>
      </w:pPr>
      <w:r>
        <w:rPr>
          <w:rFonts w:ascii="Arial" w:cs="Arial" w:eastAsia="Arial" w:hAnsi="Arial"/>
          <w:color w:val="1A2A3A"/>
          <w:sz w:val="20"/>
          <w:szCs w:val="20"/>
        </w:rPr>
        <w:t xml:space="preserve">Stage 3 — COMMUNITY RADIO RELAY: Alert transmitted to 12 community radio stations in adapted format, in local language, with culturally calibrated action instructions.</w:t>
      </w:r>
    </w:p>
    <w:p>
      <w:pPr>
        <w:pStyle w:val="ListParagraph"/>
        <w:numPr>
          <w:ilvl w:val="0"/>
          <w:numId w:val="2"/>
        </w:numPr>
        <w:spacing w:before="60" w:after="60"/>
      </w:pPr>
      <w:r>
        <w:rPr>
          <w:rFonts w:ascii="Arial" w:cs="Arial" w:eastAsia="Arial" w:hAnsi="Arial"/>
          <w:color w:val="1A2A3A"/>
          <w:sz w:val="20"/>
          <w:szCs w:val="20"/>
        </w:rPr>
        <w:t xml:space="preserve">Stage 4 — COMMUNITY ALERT FOCAL PERSON: CAFP at solar-powered CAT terminal receives broadcast, activates siren network, and personally visits households of elderly, disabled, and off-network individuals.</w:t>
      </w:r>
    </w:p>
    <w:p>
      <w:pPr>
        <w:pStyle w:val="ListParagraph"/>
        <w:numPr>
          <w:ilvl w:val="0"/>
          <w:numId w:val="2"/>
        </w:numPr>
        <w:spacing w:before="60" w:after="60"/>
      </w:pPr>
      <w:r>
        <w:rPr>
          <w:rFonts w:ascii="Arial" w:cs="Arial" w:eastAsia="Arial" w:hAnsi="Arial"/>
          <w:color w:val="1A2A3A"/>
          <w:sz w:val="20"/>
          <w:szCs w:val="20"/>
        </w:rPr>
        <w:t xml:space="preserve">Stage 5 — TRADITIONAL AUTHORITY RELAY: Village headman activates pre-agreed community action plan, using recognized traditional assembly signals (drums, bell towers) to indicate evacuation.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E8F4F2" w:sz="1"/>
              <w:left w:val="single" w:color="E8F4F2" w:sz="1"/>
              <w:bottom w:val="single" w:color="E8F4F2" w:sz="1"/>
              <w:right w:val="single" w:color="E8F4F2" w:sz="1"/>
            </w:tcBorders>
            <w:shd w:fill="1A7A6E"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DESIGN PRINCIPLE</w:t>
            </w:r>
          </w:p>
        </w:tc>
        <w:tc>
          <w:tcPr>
            <w:tcBorders>
              <w:top w:val="single" w:color="E8F4F2" w:sz="1"/>
              <w:left w:val="single" w:color="E8F4F2" w:sz="1"/>
              <w:bottom w:val="single" w:color="E8F4F2" w:sz="1"/>
              <w:right w:val="single" w:color="E8F4F2" w:sz="1"/>
            </w:tcBorders>
            <w:shd w:fill="E8F4F2" w:val="clear"/>
            <w:tcMar>
              <w:top w:type="dxa" w:w="120"/>
              <w:left w:type="dxa" w:w="160"/>
              <w:bottom w:type="dxa" w:w="120"/>
              <w:right w:type="dxa" w:w="160"/>
            </w:tcMar>
          </w:tcPr>
          <w:p>
            <w:r>
              <w:rPr>
                <w:rFonts w:ascii="Arial" w:cs="Arial" w:eastAsia="Arial" w:hAnsi="Arial"/>
                <w:color w:val="1A2A3A"/>
                <w:sz w:val="20"/>
                <w:szCs w:val="20"/>
              </w:rPr>
              <w:t xml:space="preserve">Each stage is designed to function independently if upstream stages fail. A failed internet connection does not prevent radio broadcast. A power outage does not prevent the CAFP from activating drums. Redundancy is not backup — it is the primary architecture.</w:t>
            </w:r>
          </w:p>
        </w:tc>
      </w:tr>
    </w:tbl>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C5E" w:sz="1"/>
              <w:left w:val="single" w:color="1A3C5E" w:sz="1"/>
              <w:bottom w:val="single" w:color="1A3C5E" w:sz="1"/>
              <w:right w:val="single" w:color="1A3C5E" w:sz="1"/>
            </w:tcBorders>
            <w:shd w:fill="1A3C5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DELIVERABLE 1: NATIONAL ROADMAP 2026–2030</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Five-Year Transition to a Fully Automated Alert System</w:t>
      </w:r>
    </w:p>
    <w:p>
      <w:pPr>
        <w:spacing w:before="80" w:after="80" w:line="276"/>
        <w:jc w:val="both"/>
      </w:pPr>
      <w:r>
        <w:rPr>
          <w:rFonts w:ascii="Arial" w:cs="Arial" w:eastAsia="Arial" w:hAnsi="Arial"/>
          <w:color w:val="1A2A3A"/>
          <w:sz w:val="20"/>
          <w:szCs w:val="20"/>
        </w:rPr>
        <w:t xml:space="preserve">The National Roadmap is structured across five sequential phases, each building institutional, technical, and community capacity for the next. It is explicitly designed to achieve E_warning &gt; 0.50 nationally by 2030, with the 2027 milestone delivering full multi-hazard coverage to the most vulnerable districts.</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00"/>
        <w:gridCol w:w="5560"/>
      </w:tblGrid>
      <w:tr>
        <w:tc>
          <w:tcPr>
            <w:tcBorders>
              <w:top w:val="single" w:color="1A3C5E" w:sz="1"/>
              <w:left w:val="single" w:color="1A3C5E" w:sz="1"/>
              <w:bottom w:val="single" w:color="1A3C5E" w:sz="1"/>
              <w:right w:val="single" w:color="1A3C5E" w:sz="1"/>
            </w:tcBorders>
            <w:shd w:fill="1A3C5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PERIOD</w:t>
            </w:r>
          </w:p>
        </w:tc>
        <w:tc>
          <w:tcPr>
            <w:tcBorders>
              <w:top w:val="single" w:color="1A3C5E" w:sz="1"/>
              <w:left w:val="single" w:color="1A3C5E" w:sz="1"/>
              <w:bottom w:val="single" w:color="1A3C5E" w:sz="1"/>
              <w:right w:val="single" w:color="1A3C5E" w:sz="1"/>
            </w:tcBorders>
            <w:shd w:fill="1A3C5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PHASE</w:t>
            </w:r>
          </w:p>
        </w:tc>
        <w:tc>
          <w:tcPr>
            <w:tcBorders>
              <w:top w:val="single" w:color="1A3C5E" w:sz="1"/>
              <w:left w:val="single" w:color="1A3C5E" w:sz="1"/>
              <w:bottom w:val="single" w:color="1A3C5E" w:sz="1"/>
              <w:right w:val="single" w:color="1A3C5E" w:sz="1"/>
            </w:tcBorders>
            <w:shd w:fill="1A3C5E" w:val="clear"/>
            <w:tcMar>
              <w:top w:type="dxa" w:w="100"/>
              <w:left w:type="dxa" w:w="120"/>
              <w:bottom w:type="dxa" w:w="100"/>
              <w:right w:type="dxa" w:w="120"/>
            </w:tcMar>
          </w:tcPr>
          <w:p>
            <w:pPr>
              <w:jc w:val="center"/>
            </w:pPr>
            <w:r>
              <w:rPr>
                <w:rFonts w:ascii="Arial" w:cs="Arial" w:eastAsia="Arial" w:hAnsi="Arial"/>
                <w:b/>
                <w:bCs/>
                <w:color w:val="FFFFFF"/>
                <w:sz w:val="18"/>
                <w:szCs w:val="18"/>
              </w:rPr>
              <w:t xml:space="preserve">KEY MILESTONES &amp; ACTIVITIES</w:t>
            </w:r>
          </w:p>
        </w:tc>
      </w:tr>
      <w:tr>
        <w:tc>
          <w:tcPr>
            <w:tcBorders>
              <w:top w:val="single" w:color="1A3C5E" w:sz="1"/>
              <w:left w:val="single" w:color="1A3C5E" w:sz="1"/>
              <w:bottom w:val="single" w:color="1A3C5E" w:sz="1"/>
              <w:right w:val="single" w:color="1A3C5E" w:sz="1"/>
            </w:tcBorders>
            <w:shd w:fill="1A3C5E"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2026
Q1–Q2</w:t>
            </w:r>
          </w:p>
        </w:tc>
        <w:tc>
          <w:tcPr>
            <w:tcBorders>
              <w:top w:val="single" w:color="1A3C5E" w:sz="1"/>
              <w:left w:val="single" w:color="1A3C5E" w:sz="1"/>
              <w:bottom w:val="single" w:color="1A3C5E" w:sz="1"/>
              <w:right w:val="single" w:color="1A3C5E" w:sz="1"/>
            </w:tcBorders>
            <w:shd w:fill="F0F4F8" w:val="clear"/>
            <w:tcMar>
              <w:top w:type="dxa" w:w="100"/>
              <w:left w:type="dxa" w:w="120"/>
              <w:bottom w:type="dxa" w:w="100"/>
              <w:right w:type="dxa" w:w="120"/>
            </w:tcMar>
          </w:tcPr>
          <w:p>
            <w:r>
              <w:rPr>
                <w:rFonts w:ascii="Arial" w:cs="Arial" w:eastAsia="Arial" w:hAnsi="Arial"/>
                <w:b/>
                <w:bCs/>
                <w:color w:val="1A3C5E"/>
                <w:sz w:val="18"/>
                <w:szCs w:val="18"/>
              </w:rPr>
              <w:t xml:space="preserve">FOUNDATION</w:t>
            </w:r>
          </w:p>
        </w:tc>
        <w:tc>
          <w:tcPr>
            <w:tcBorders>
              <w:top w:val="single" w:color="1A3C5E" w:sz="1"/>
              <w:left w:val="single" w:color="1A3C5E" w:sz="1"/>
              <w:bottom w:val="single" w:color="1A3C5E" w:sz="1"/>
              <w:right w:val="single" w:color="1A3C5E" w:sz="1"/>
            </w:tcBorders>
            <w:shd w:fill="F0F4F8" w:val="clear"/>
            <w:tcMar>
              <w:top w:type="dxa" w:w="100"/>
              <w:left w:type="dxa" w:w="120"/>
              <w:bottom w:type="dxa" w:w="100"/>
              <w:right w:type="dxa" w:w="120"/>
            </w:tcMar>
          </w:tcPr>
          <w:p>
            <w:pPr>
              <w:pStyle w:val="ListParagraph"/>
              <w:numPr>
                <w:ilvl w:val="0"/>
                <w:numId w:val="2"/>
              </w:numPr>
              <w:spacing w:before="40" w:after="40"/>
            </w:pPr>
            <w:r>
              <w:rPr>
                <w:rFonts w:ascii="Arial" w:cs="Arial" w:eastAsia="Arial" w:hAnsi="Arial"/>
                <w:color w:val="1A2A3A"/>
                <w:sz w:val="18"/>
                <w:szCs w:val="18"/>
              </w:rPr>
              <w:t xml:space="preserve">Conduct national EW4All gap assessment across all 28 districts</w:t>
            </w:r>
          </w:p>
          <w:p>
            <w:pPr>
              <w:pStyle w:val="ListParagraph"/>
              <w:numPr>
                <w:ilvl w:val="0"/>
                <w:numId w:val="2"/>
              </w:numPr>
              <w:spacing w:before="40" w:after="40"/>
            </w:pPr>
            <w:r>
              <w:rPr>
                <w:rFonts w:ascii="Arial" w:cs="Arial" w:eastAsia="Arial" w:hAnsi="Arial"/>
                <w:color w:val="1A2A3A"/>
                <w:sz w:val="18"/>
                <w:szCs w:val="18"/>
              </w:rPr>
              <w:t xml:space="preserve">Formally establish DELTA-DCCMS integration task force</w:t>
            </w:r>
          </w:p>
          <w:p>
            <w:pPr>
              <w:pStyle w:val="ListParagraph"/>
              <w:numPr>
                <w:ilvl w:val="0"/>
                <w:numId w:val="2"/>
              </w:numPr>
              <w:spacing w:before="40" w:after="40"/>
            </w:pPr>
            <w:r>
              <w:rPr>
                <w:rFonts w:ascii="Arial" w:cs="Arial" w:eastAsia="Arial" w:hAnsi="Arial"/>
                <w:color w:val="1A2A3A"/>
                <w:sz w:val="18"/>
                <w:szCs w:val="18"/>
              </w:rPr>
              <w:t xml:space="preserve">Launch Indigenous Wisdom Integration Protocol (IWIP) Phase A</w:t>
            </w:r>
          </w:p>
          <w:p>
            <w:pPr>
              <w:pStyle w:val="ListParagraph"/>
              <w:numPr>
                <w:ilvl w:val="0"/>
                <w:numId w:val="2"/>
              </w:numPr>
              <w:spacing w:before="40" w:after="40"/>
            </w:pPr>
            <w:r>
              <w:rPr>
                <w:rFonts w:ascii="Arial" w:cs="Arial" w:eastAsia="Arial" w:hAnsi="Arial"/>
                <w:color w:val="1A2A3A"/>
                <w:sz w:val="18"/>
                <w:szCs w:val="18"/>
              </w:rPr>
              <w:t xml:space="preserve">Identify and contract 3 mobile network operators for SMS alert gateway</w:t>
            </w:r>
          </w:p>
          <w:p>
            <w:pPr>
              <w:pStyle w:val="ListParagraph"/>
              <w:numPr>
                <w:ilvl w:val="0"/>
                <w:numId w:val="2"/>
              </w:numPr>
              <w:spacing w:before="40" w:after="40"/>
            </w:pPr>
            <w:r>
              <w:rPr>
                <w:rFonts w:ascii="Arial" w:cs="Arial" w:eastAsia="Arial" w:hAnsi="Arial"/>
                <w:color w:val="1A2A3A"/>
                <w:sz w:val="18"/>
                <w:szCs w:val="18"/>
              </w:rPr>
              <w:t xml:space="preserve">Rehabilitation of first 20 priority weather stations (total target: 80 by 2028)</w:t>
            </w:r>
          </w:p>
        </w:tc>
      </w:tr>
      <w:tr>
        <w:tc>
          <w:tcPr>
            <w:tcBorders>
              <w:top w:val="single" w:color="1A7A6E" w:sz="1"/>
              <w:left w:val="single" w:color="1A7A6E" w:sz="1"/>
              <w:bottom w:val="single" w:color="1A7A6E" w:sz="1"/>
              <w:right w:val="single" w:color="1A7A6E" w:sz="1"/>
            </w:tcBorders>
            <w:shd w:fill="1A7A6E"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2026
Q3–Q4</w:t>
            </w:r>
          </w:p>
        </w:tc>
        <w:tc>
          <w:tcPr>
            <w:tcBorders>
              <w:top w:val="single" w:color="1A7A6E" w:sz="1"/>
              <w:left w:val="single" w:color="1A7A6E" w:sz="1"/>
              <w:bottom w:val="single" w:color="1A7A6E" w:sz="1"/>
              <w:right w:val="single" w:color="1A7A6E" w:sz="1"/>
            </w:tcBorders>
            <w:shd w:fill="FFFFFF" w:val="clear"/>
            <w:tcMar>
              <w:top w:type="dxa" w:w="100"/>
              <w:left w:type="dxa" w:w="120"/>
              <w:bottom w:type="dxa" w:w="100"/>
              <w:right w:type="dxa" w:w="120"/>
            </w:tcMar>
          </w:tcPr>
          <w:p>
            <w:r>
              <w:rPr>
                <w:rFonts w:ascii="Arial" w:cs="Arial" w:eastAsia="Arial" w:hAnsi="Arial"/>
                <w:b/>
                <w:bCs/>
                <w:color w:val="1A7A6E"/>
                <w:sz w:val="18"/>
                <w:szCs w:val="18"/>
              </w:rPr>
              <w:t xml:space="preserve">INFRASTRUCTURE</w:t>
            </w:r>
          </w:p>
        </w:tc>
        <w:tc>
          <w:tcPr>
            <w:tcBorders>
              <w:top w:val="single" w:color="1A7A6E" w:sz="1"/>
              <w:left w:val="single" w:color="1A7A6E" w:sz="1"/>
              <w:bottom w:val="single" w:color="1A7A6E" w:sz="1"/>
              <w:right w:val="single" w:color="1A7A6E" w:sz="1"/>
            </w:tcBorders>
            <w:shd w:fill="FFFFFF" w:val="clear"/>
            <w:tcMar>
              <w:top w:type="dxa" w:w="100"/>
              <w:left w:type="dxa" w:w="120"/>
              <w:bottom w:type="dxa" w:w="100"/>
              <w:right w:type="dxa" w:w="120"/>
            </w:tcMar>
          </w:tcPr>
          <w:p>
            <w:pPr>
              <w:pStyle w:val="ListParagraph"/>
              <w:numPr>
                <w:ilvl w:val="0"/>
                <w:numId w:val="2"/>
              </w:numPr>
              <w:spacing w:before="40" w:after="40"/>
            </w:pPr>
            <w:r>
              <w:rPr>
                <w:rFonts w:ascii="Arial" w:cs="Arial" w:eastAsia="Arial" w:hAnsi="Arial"/>
                <w:color w:val="1A2A3A"/>
                <w:sz w:val="18"/>
                <w:szCs w:val="18"/>
              </w:rPr>
              <w:t xml:space="preserve">Deploy 60 solar-powered Community Alert Terminals in highest-risk districts</w:t>
            </w:r>
          </w:p>
          <w:p>
            <w:pPr>
              <w:pStyle w:val="ListParagraph"/>
              <w:numPr>
                <w:ilvl w:val="0"/>
                <w:numId w:val="2"/>
              </w:numPr>
              <w:spacing w:before="40" w:after="40"/>
            </w:pPr>
            <w:r>
              <w:rPr>
                <w:rFonts w:ascii="Arial" w:cs="Arial" w:eastAsia="Arial" w:hAnsi="Arial"/>
                <w:color w:val="1A2A3A"/>
                <w:sz w:val="18"/>
                <w:szCs w:val="18"/>
              </w:rPr>
              <w:t xml:space="preserve">Train 180 Community Alert Focal Persons (CAFPs) — 1 per ward</w:t>
            </w:r>
          </w:p>
          <w:p>
            <w:pPr>
              <w:pStyle w:val="ListParagraph"/>
              <w:numPr>
                <w:ilvl w:val="0"/>
                <w:numId w:val="2"/>
              </w:numPr>
              <w:spacing w:before="40" w:after="40"/>
            </w:pPr>
            <w:r>
              <w:rPr>
                <w:rFonts w:ascii="Arial" w:cs="Arial" w:eastAsia="Arial" w:hAnsi="Arial"/>
                <w:color w:val="1A2A3A"/>
                <w:sz w:val="18"/>
                <w:szCs w:val="18"/>
              </w:rPr>
              <w:t xml:space="preserve">Integrate DELTA real-time loss/damage API with MNO emergency broadcast</w:t>
            </w:r>
          </w:p>
          <w:p>
            <w:pPr>
              <w:pStyle w:val="ListParagraph"/>
              <w:numPr>
                <w:ilvl w:val="0"/>
                <w:numId w:val="2"/>
              </w:numPr>
              <w:spacing w:before="40" w:after="40"/>
            </w:pPr>
            <w:r>
              <w:rPr>
                <w:rFonts w:ascii="Arial" w:cs="Arial" w:eastAsia="Arial" w:hAnsi="Arial"/>
                <w:color w:val="1A2A3A"/>
                <w:sz w:val="18"/>
                <w:szCs w:val="18"/>
              </w:rPr>
              <w:t xml:space="preserve">Launch multi-language alert translation platform (9 languages)</w:t>
            </w:r>
          </w:p>
          <w:p>
            <w:pPr>
              <w:pStyle w:val="ListParagraph"/>
              <w:numPr>
                <w:ilvl w:val="0"/>
                <w:numId w:val="2"/>
              </w:numPr>
              <w:spacing w:before="40" w:after="40"/>
            </w:pPr>
            <w:r>
              <w:rPr>
                <w:rFonts w:ascii="Arial" w:cs="Arial" w:eastAsia="Arial" w:hAnsi="Arial"/>
                <w:color w:val="1A2A3A"/>
                <w:sz w:val="18"/>
                <w:szCs w:val="18"/>
              </w:rPr>
              <w:t xml:space="preserve">Finalize IBF protocols for floods, droughts, cyclones, and heatwaves</w:t>
            </w:r>
          </w:p>
        </w:tc>
      </w:tr>
      <w:tr>
        <w:tc>
          <w:tcPr>
            <w:tcBorders>
              <w:top w:val="single" w:color="E07B39" w:sz="1"/>
              <w:left w:val="single" w:color="E07B39" w:sz="1"/>
              <w:bottom w:val="single" w:color="E07B39" w:sz="1"/>
              <w:right w:val="single" w:color="E07B39" w:sz="1"/>
            </w:tcBorders>
            <w:shd w:fill="E07B39"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2027
Q1–Q2</w:t>
            </w:r>
          </w:p>
        </w:tc>
        <w:tc>
          <w:tcPr>
            <w:tcBorders>
              <w:top w:val="single" w:color="E07B39" w:sz="1"/>
              <w:left w:val="single" w:color="E07B39" w:sz="1"/>
              <w:bottom w:val="single" w:color="E07B39" w:sz="1"/>
              <w:right w:val="single" w:color="E07B39" w:sz="1"/>
            </w:tcBorders>
            <w:shd w:fill="F0F4F8" w:val="clear"/>
            <w:tcMar>
              <w:top w:type="dxa" w:w="100"/>
              <w:left w:type="dxa" w:w="120"/>
              <w:bottom w:type="dxa" w:w="100"/>
              <w:right w:type="dxa" w:w="120"/>
            </w:tcMar>
          </w:tcPr>
          <w:p>
            <w:r>
              <w:rPr>
                <w:rFonts w:ascii="Arial" w:cs="Arial" w:eastAsia="Arial" w:hAnsi="Arial"/>
                <w:b/>
                <w:bCs/>
                <w:color w:val="E07B39"/>
                <w:sz w:val="18"/>
                <w:szCs w:val="18"/>
              </w:rPr>
              <w:t xml:space="preserve">ACTIVATION
(EW4All
Deadline)</w:t>
            </w:r>
          </w:p>
        </w:tc>
        <w:tc>
          <w:tcPr>
            <w:tcBorders>
              <w:top w:val="single" w:color="E07B39" w:sz="1"/>
              <w:left w:val="single" w:color="E07B39" w:sz="1"/>
              <w:bottom w:val="single" w:color="E07B39" w:sz="1"/>
              <w:right w:val="single" w:color="E07B39" w:sz="1"/>
            </w:tcBorders>
            <w:shd w:fill="F0F4F8" w:val="clear"/>
            <w:tcMar>
              <w:top w:type="dxa" w:w="100"/>
              <w:left w:type="dxa" w:w="120"/>
              <w:bottom w:type="dxa" w:w="100"/>
              <w:right w:type="dxa" w:w="120"/>
            </w:tcMar>
          </w:tcPr>
          <w:p>
            <w:pPr>
              <w:pStyle w:val="ListParagraph"/>
              <w:numPr>
                <w:ilvl w:val="0"/>
                <w:numId w:val="2"/>
              </w:numPr>
              <w:spacing w:before="40" w:after="40"/>
            </w:pPr>
            <w:r>
              <w:rPr>
                <w:rFonts w:ascii="Arial" w:cs="Arial" w:eastAsia="Arial" w:hAnsi="Arial"/>
                <w:color w:val="1A2A3A"/>
                <w:sz w:val="18"/>
                <w:szCs w:val="18"/>
              </w:rPr>
              <w:t xml:space="preserve">Operational full-chain test: satellite-to-village drill across all 28 districts</w:t>
            </w:r>
          </w:p>
          <w:p>
            <w:pPr>
              <w:pStyle w:val="ListParagraph"/>
              <w:numPr>
                <w:ilvl w:val="0"/>
                <w:numId w:val="2"/>
              </w:numPr>
              <w:spacing w:before="40" w:after="40"/>
            </w:pPr>
            <w:r>
              <w:rPr>
                <w:rFonts w:ascii="Arial" w:cs="Arial" w:eastAsia="Arial" w:hAnsi="Arial"/>
                <w:color w:val="1A2A3A"/>
                <w:sz w:val="18"/>
                <w:szCs w:val="18"/>
              </w:rPr>
              <w:t xml:space="preserve">Achieve 80% population coverage via MNO + community radio + CATs</w:t>
            </w:r>
          </w:p>
          <w:p>
            <w:pPr>
              <w:pStyle w:val="ListParagraph"/>
              <w:numPr>
                <w:ilvl w:val="0"/>
                <w:numId w:val="2"/>
              </w:numPr>
              <w:spacing w:before="40" w:after="40"/>
            </w:pPr>
            <w:r>
              <w:rPr>
                <w:rFonts w:ascii="Arial" w:cs="Arial" w:eastAsia="Arial" w:hAnsi="Arial"/>
                <w:color w:val="1A2A3A"/>
                <w:sz w:val="18"/>
                <w:szCs w:val="18"/>
              </w:rPr>
              <w:t xml:space="preserve">Launch Zanyengo bilingual weather app nationwide with IBF integration</w:t>
            </w:r>
          </w:p>
          <w:p>
            <w:pPr>
              <w:pStyle w:val="ListParagraph"/>
              <w:numPr>
                <w:ilvl w:val="0"/>
                <w:numId w:val="2"/>
              </w:numPr>
              <w:spacing w:before="40" w:after="40"/>
            </w:pPr>
            <w:r>
              <w:rPr>
                <w:rFonts w:ascii="Arial" w:cs="Arial" w:eastAsia="Arial" w:hAnsi="Arial"/>
                <w:color w:val="1A2A3A"/>
                <w:sz w:val="18"/>
                <w:szCs w:val="18"/>
              </w:rPr>
              <w:t xml:space="preserve">Complete IWIP Phase B (TEK-science cross-validation)</w:t>
            </w:r>
          </w:p>
          <w:p>
            <w:pPr>
              <w:pStyle w:val="ListParagraph"/>
              <w:numPr>
                <w:ilvl w:val="0"/>
                <w:numId w:val="2"/>
              </w:numPr>
              <w:spacing w:before="40" w:after="40"/>
            </w:pPr>
            <w:r>
              <w:rPr>
                <w:rFonts w:ascii="Arial" w:cs="Arial" w:eastAsia="Arial" w:hAnsi="Arial"/>
                <w:color w:val="1A2A3A"/>
                <w:sz w:val="18"/>
                <w:szCs w:val="18"/>
              </w:rPr>
              <w:t xml:space="preserve">Malawi submits EW4All compliance report to UNDRR/WMO</w:t>
            </w:r>
          </w:p>
        </w:tc>
      </w:tr>
      <w:tr>
        <w:tc>
          <w:tcPr>
            <w:tcBorders>
              <w:top w:val="single" w:color="27AE60" w:sz="1"/>
              <w:left w:val="single" w:color="27AE60" w:sz="1"/>
              <w:bottom w:val="single" w:color="27AE60" w:sz="1"/>
              <w:right w:val="single" w:color="27AE60" w:sz="1"/>
            </w:tcBorders>
            <w:shd w:fill="27AE60"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2027–2028
Consolidation</w:t>
            </w:r>
          </w:p>
        </w:tc>
        <w:tc>
          <w:tcPr>
            <w:tcBorders>
              <w:top w:val="single" w:color="27AE60" w:sz="1"/>
              <w:left w:val="single" w:color="27AE60" w:sz="1"/>
              <w:bottom w:val="single" w:color="27AE60" w:sz="1"/>
              <w:right w:val="single" w:color="27AE60" w:sz="1"/>
            </w:tcBorders>
            <w:shd w:fill="FFFFFF" w:val="clear"/>
            <w:tcMar>
              <w:top w:type="dxa" w:w="100"/>
              <w:left w:type="dxa" w:w="120"/>
              <w:bottom w:type="dxa" w:w="100"/>
              <w:right w:type="dxa" w:w="120"/>
            </w:tcMar>
          </w:tcPr>
          <w:p>
            <w:r>
              <w:rPr>
                <w:rFonts w:ascii="Arial" w:cs="Arial" w:eastAsia="Arial" w:hAnsi="Arial"/>
                <w:b/>
                <w:bCs/>
                <w:color w:val="27AE60"/>
                <w:sz w:val="18"/>
                <w:szCs w:val="18"/>
              </w:rPr>
              <w:t xml:space="preserve">DEEPENING</w:t>
            </w:r>
          </w:p>
        </w:tc>
        <w:tc>
          <w:tcPr>
            <w:tcBorders>
              <w:top w:val="single" w:color="27AE60" w:sz="1"/>
              <w:left w:val="single" w:color="27AE60" w:sz="1"/>
              <w:bottom w:val="single" w:color="27AE60" w:sz="1"/>
              <w:right w:val="single" w:color="27AE60" w:sz="1"/>
            </w:tcBorders>
            <w:shd w:fill="FFFFFF" w:val="clear"/>
            <w:tcMar>
              <w:top w:type="dxa" w:w="100"/>
              <w:left w:type="dxa" w:w="120"/>
              <w:bottom w:type="dxa" w:w="100"/>
              <w:right w:type="dxa" w:w="120"/>
            </w:tcMar>
          </w:tcPr>
          <w:p>
            <w:pPr>
              <w:pStyle w:val="ListParagraph"/>
              <w:numPr>
                <w:ilvl w:val="0"/>
                <w:numId w:val="2"/>
              </w:numPr>
              <w:spacing w:before="40" w:after="40"/>
            </w:pPr>
            <w:r>
              <w:rPr>
                <w:rFonts w:ascii="Arial" w:cs="Arial" w:eastAsia="Arial" w:hAnsi="Arial"/>
                <w:color w:val="1A2A3A"/>
                <w:sz w:val="18"/>
                <w:szCs w:val="18"/>
              </w:rPr>
              <w:t xml:space="preserve">Expand CAT network from 60 to 180 terminals (full national coverage)</w:t>
            </w:r>
          </w:p>
          <w:p>
            <w:pPr>
              <w:pStyle w:val="ListParagraph"/>
              <w:numPr>
                <w:ilvl w:val="0"/>
                <w:numId w:val="2"/>
              </w:numPr>
              <w:spacing w:before="40" w:after="40"/>
            </w:pPr>
            <w:r>
              <w:rPr>
                <w:rFonts w:ascii="Arial" w:cs="Arial" w:eastAsia="Arial" w:hAnsi="Arial"/>
                <w:color w:val="1A2A3A"/>
                <w:sz w:val="18"/>
                <w:szCs w:val="18"/>
              </w:rPr>
              <w:t xml:space="preserve">Integrate IWIP Phase C into all official warning message templates</w:t>
            </w:r>
          </w:p>
          <w:p>
            <w:pPr>
              <w:pStyle w:val="ListParagraph"/>
              <w:numPr>
                <w:ilvl w:val="0"/>
                <w:numId w:val="2"/>
              </w:numPr>
              <w:spacing w:before="40" w:after="40"/>
            </w:pPr>
            <w:r>
              <w:rPr>
                <w:rFonts w:ascii="Arial" w:cs="Arial" w:eastAsia="Arial" w:hAnsi="Arial"/>
                <w:color w:val="1A2A3A"/>
                <w:sz w:val="18"/>
                <w:szCs w:val="18"/>
              </w:rPr>
              <w:t xml:space="preserve">Operationalize anticipatory action cash transfer trigger mechanism</w:t>
            </w:r>
          </w:p>
          <w:p>
            <w:pPr>
              <w:pStyle w:val="ListParagraph"/>
              <w:numPr>
                <w:ilvl w:val="0"/>
                <w:numId w:val="2"/>
              </w:numPr>
              <w:spacing w:before="40" w:after="40"/>
            </w:pPr>
            <w:r>
              <w:rPr>
                <w:rFonts w:ascii="Arial" w:cs="Arial" w:eastAsia="Arial" w:hAnsi="Arial"/>
                <w:color w:val="1A2A3A"/>
                <w:sz w:val="18"/>
                <w:szCs w:val="18"/>
              </w:rPr>
              <w:t xml:space="preserve">Establish 5-year DCCMS sustainable financing compact with national budget</w:t>
            </w:r>
          </w:p>
          <w:p>
            <w:pPr>
              <w:pStyle w:val="ListParagraph"/>
              <w:numPr>
                <w:ilvl w:val="0"/>
                <w:numId w:val="2"/>
              </w:numPr>
              <w:spacing w:before="40" w:after="40"/>
            </w:pPr>
            <w:r>
              <w:rPr>
                <w:rFonts w:ascii="Arial" w:cs="Arial" w:eastAsia="Arial" w:hAnsi="Arial"/>
                <w:color w:val="1A2A3A"/>
                <w:sz w:val="18"/>
                <w:szCs w:val="18"/>
              </w:rPr>
              <w:t xml:space="preserve">Launch regional knowledge-sharing with Mozambique and Zambia</w:t>
            </w:r>
          </w:p>
        </w:tc>
      </w:tr>
      <w:tr>
        <w:tc>
          <w:tcPr>
            <w:tcBorders>
              <w:top w:val="single" w:color="5A6A7A" w:sz="1"/>
              <w:left w:val="single" w:color="5A6A7A" w:sz="1"/>
              <w:bottom w:val="single" w:color="5A6A7A" w:sz="1"/>
              <w:right w:val="single" w:color="5A6A7A" w:sz="1"/>
            </w:tcBorders>
            <w:shd w:fill="5A6A7A" w:val="clear"/>
            <w:tcMar>
              <w:top w:type="dxa" w:w="100"/>
              <w:left w:type="dxa" w:w="120"/>
              <w:bottom w:type="dxa" w:w="100"/>
              <w:right w:type="dxa" w:w="120"/>
            </w:tcMar>
            <w:vAlign w:val="center"/>
          </w:tcPr>
          <w:p>
            <w:pPr>
              <w:jc w:val="center"/>
            </w:pPr>
            <w:r>
              <w:rPr>
                <w:rFonts w:ascii="Arial" w:cs="Arial" w:eastAsia="Arial" w:hAnsi="Arial"/>
                <w:b/>
                <w:bCs/>
                <w:color w:val="FFFFFF"/>
                <w:sz w:val="18"/>
                <w:szCs w:val="18"/>
              </w:rPr>
              <w:t xml:space="preserve">2029–2030
Automation</w:t>
            </w:r>
          </w:p>
        </w:tc>
        <w:tc>
          <w:tcPr>
            <w:tcBorders>
              <w:top w:val="single" w:color="5A6A7A" w:sz="1"/>
              <w:left w:val="single" w:color="5A6A7A" w:sz="1"/>
              <w:bottom w:val="single" w:color="5A6A7A" w:sz="1"/>
              <w:right w:val="single" w:color="5A6A7A" w:sz="1"/>
            </w:tcBorders>
            <w:shd w:fill="F0F4F8" w:val="clear"/>
            <w:tcMar>
              <w:top w:type="dxa" w:w="100"/>
              <w:left w:type="dxa" w:w="120"/>
              <w:bottom w:type="dxa" w:w="100"/>
              <w:right w:type="dxa" w:w="120"/>
            </w:tcMar>
          </w:tcPr>
          <w:p>
            <w:r>
              <w:rPr>
                <w:rFonts w:ascii="Arial" w:cs="Arial" w:eastAsia="Arial" w:hAnsi="Arial"/>
                <w:b/>
                <w:bCs/>
                <w:color w:val="5A6A7A"/>
                <w:sz w:val="18"/>
                <w:szCs w:val="18"/>
              </w:rPr>
              <w:t xml:space="preserve">AUTOMATION</w:t>
            </w:r>
          </w:p>
        </w:tc>
        <w:tc>
          <w:tcPr>
            <w:tcBorders>
              <w:top w:val="single" w:color="5A6A7A" w:sz="1"/>
              <w:left w:val="single" w:color="5A6A7A" w:sz="1"/>
              <w:bottom w:val="single" w:color="5A6A7A" w:sz="1"/>
              <w:right w:val="single" w:color="5A6A7A" w:sz="1"/>
            </w:tcBorders>
            <w:shd w:fill="F0F4F8" w:val="clear"/>
            <w:tcMar>
              <w:top w:type="dxa" w:w="100"/>
              <w:left w:type="dxa" w:w="120"/>
              <w:bottom w:type="dxa" w:w="100"/>
              <w:right w:type="dxa" w:w="120"/>
            </w:tcMar>
          </w:tcPr>
          <w:p>
            <w:pPr>
              <w:pStyle w:val="ListParagraph"/>
              <w:numPr>
                <w:ilvl w:val="0"/>
                <w:numId w:val="2"/>
              </w:numPr>
              <w:spacing w:before="40" w:after="40"/>
            </w:pPr>
            <w:r>
              <w:rPr>
                <w:rFonts w:ascii="Arial" w:cs="Arial" w:eastAsia="Arial" w:hAnsi="Arial"/>
                <w:color w:val="1A2A3A"/>
                <w:sz w:val="18"/>
                <w:szCs w:val="18"/>
              </w:rPr>
              <w:t xml:space="preserve">Achieve fully automated end-to-end warning pipeline (satellite → household)</w:t>
            </w:r>
          </w:p>
          <w:p>
            <w:pPr>
              <w:pStyle w:val="ListParagraph"/>
              <w:numPr>
                <w:ilvl w:val="0"/>
                <w:numId w:val="2"/>
              </w:numPr>
              <w:spacing w:before="40" w:after="40"/>
            </w:pPr>
            <w:r>
              <w:rPr>
                <w:rFonts w:ascii="Arial" w:cs="Arial" w:eastAsia="Arial" w:hAnsi="Arial"/>
                <w:color w:val="1A2A3A"/>
                <w:sz w:val="18"/>
                <w:szCs w:val="18"/>
              </w:rPr>
              <w:t xml:space="preserve">Deploy AI ensemble forecasting system with 5-day IBF capability</w:t>
            </w:r>
          </w:p>
          <w:p>
            <w:pPr>
              <w:pStyle w:val="ListParagraph"/>
              <w:numPr>
                <w:ilvl w:val="0"/>
                <w:numId w:val="2"/>
              </w:numPr>
              <w:spacing w:before="40" w:after="40"/>
            </w:pPr>
            <w:r>
              <w:rPr>
                <w:rFonts w:ascii="Arial" w:cs="Arial" w:eastAsia="Arial" w:hAnsi="Arial"/>
                <w:color w:val="1A2A3A"/>
                <w:sz w:val="18"/>
                <w:szCs w:val="18"/>
              </w:rPr>
              <w:t xml:space="preserve">Complete rehabilitation of all 80 priority weather stations</w:t>
            </w:r>
          </w:p>
          <w:p>
            <w:pPr>
              <w:pStyle w:val="ListParagraph"/>
              <w:numPr>
                <w:ilvl w:val="0"/>
                <w:numId w:val="2"/>
              </w:numPr>
              <w:spacing w:before="40" w:after="40"/>
            </w:pPr>
            <w:r>
              <w:rPr>
                <w:rFonts w:ascii="Arial" w:cs="Arial" w:eastAsia="Arial" w:hAnsi="Arial"/>
                <w:color w:val="1A2A3A"/>
                <w:sz w:val="18"/>
                <w:szCs w:val="18"/>
              </w:rPr>
              <w:t xml:space="preserve">Achieve E_warning &gt; 0.50 across all 28 districts (target: 0.65 nationally)</w:t>
            </w:r>
          </w:p>
          <w:p>
            <w:pPr>
              <w:pStyle w:val="ListParagraph"/>
              <w:numPr>
                <w:ilvl w:val="0"/>
                <w:numId w:val="2"/>
              </w:numPr>
              <w:spacing w:before="40" w:after="40"/>
            </w:pPr>
            <w:r>
              <w:rPr>
                <w:rFonts w:ascii="Arial" w:cs="Arial" w:eastAsia="Arial" w:hAnsi="Arial"/>
                <w:color w:val="1A2A3A"/>
                <w:sz w:val="18"/>
                <w:szCs w:val="18"/>
              </w:rPr>
              <w:t xml:space="preserve">Malawi validated as model LDC implementation for EW4All global review</w:t>
            </w:r>
          </w:p>
        </w:tc>
      </w:tr>
    </w:tbl>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7A6E" w:sz="1"/>
              <w:left w:val="single" w:color="1A7A6E" w:sz="1"/>
              <w:bottom w:val="single" w:color="1A7A6E" w:sz="1"/>
              <w:right w:val="single" w:color="1A7A6E" w:sz="1"/>
            </w:tcBorders>
            <w:shd w:fill="1A7A6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DELIVERABLE 2: LAST-MILE INFOGRAPHIC — THE WARNING JOURNEY</w:t>
            </w:r>
          </w:p>
        </w:tc>
      </w:tr>
    </w:tbl>
    <w:p>
      <w:pPr>
        <w:spacing w:before="0" w:after="120"/>
      </w:pPr>
      <w:r>
        <w:t xml:space="preserve"/>
      </w:r>
    </w:p>
    <w:p>
      <w:pPr>
        <w:spacing w:before="80" w:after="80" w:line="276"/>
        <w:jc w:val="both"/>
      </w:pPr>
      <w:r>
        <w:rPr>
          <w:rFonts w:ascii="Arial" w:cs="Arial" w:eastAsia="Arial" w:hAnsi="Arial"/>
          <w:color w:val="1A2A3A"/>
          <w:sz w:val="20"/>
          <w:szCs w:val="20"/>
        </w:rPr>
        <w:t xml:space="preserve">The following narrative maps the complete pathway of a flood warning event from satellite detection to community action in a rural district of Malawi. Each node represents a system layer, the approximate time elapsed since hazard detection, and the critical governance or technology requirement at that stage.</w:t>
      </w:r>
    </w:p>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4960"/>
        <w:gridCol w:w="2000"/>
      </w:tblGrid>
      <w:tr>
        <w:tc>
          <w:tcPr>
            <w:tcBorders>
              <w:top w:val="single" w:color="1A3C5E" w:sz="1"/>
              <w:left w:val="single" w:color="1A3C5E" w:sz="1"/>
              <w:bottom w:val="single" w:color="1A3C5E" w:sz="1"/>
              <w:right w:val="single" w:color="1A3C5E" w:sz="1"/>
            </w:tcBorders>
            <w:shd w:fill="1A3C5E" w:val="clear"/>
            <w:tcMar>
              <w:top w:type="dxa" w:w="80"/>
              <w:left w:type="dxa" w:w="80"/>
              <w:bottom w:type="dxa" w:w="80"/>
              <w:right w:type="dxa" w:w="80"/>
            </w:tcMar>
          </w:tcPr>
          <w:p>
            <w:pPr>
              <w:jc w:val="center"/>
            </w:pPr>
            <w:r>
              <w:rPr>
                <w:rFonts w:ascii="Arial" w:cs="Arial" w:eastAsia="Arial" w:hAnsi="Arial"/>
                <w:b/>
                <w:bCs/>
                <w:color w:val="FFFFFF"/>
                <w:sz w:val="16"/>
                <w:szCs w:val="16"/>
              </w:rPr>
              <w:t xml:space="preserve">STEP</w:t>
            </w:r>
          </w:p>
        </w:tc>
        <w:tc>
          <w:tcPr>
            <w:tcBorders>
              <w:top w:val="single" w:color="1A3C5E" w:sz="1"/>
              <w:left w:val="single" w:color="1A3C5E" w:sz="1"/>
              <w:bottom w:val="single" w:color="1A3C5E" w:sz="1"/>
              <w:right w:val="single" w:color="1A3C5E" w:sz="1"/>
            </w:tcBorders>
            <w:shd w:fill="1A3C5E" w:val="clear"/>
            <w:tcMar>
              <w:top w:type="dxa" w:w="80"/>
              <w:left w:type="dxa" w:w="80"/>
              <w:bottom w:type="dxa" w:w="80"/>
              <w:right w:type="dxa" w:w="80"/>
            </w:tcMar>
          </w:tcPr>
          <w:p>
            <w:pPr>
              <w:jc w:val="center"/>
            </w:pPr>
            <w:r>
              <w:rPr>
                <w:rFonts w:ascii="Arial" w:cs="Arial" w:eastAsia="Arial" w:hAnsi="Arial"/>
                <w:b/>
                <w:bCs/>
                <w:color w:val="FFFFFF"/>
                <w:sz w:val="16"/>
                <w:szCs w:val="16"/>
              </w:rPr>
              <w:t xml:space="preserve">NODE</w:t>
            </w:r>
          </w:p>
        </w:tc>
        <w:tc>
          <w:tcPr>
            <w:tcBorders>
              <w:top w:val="single" w:color="1A3C5E" w:sz="1"/>
              <w:left w:val="single" w:color="1A3C5E" w:sz="1"/>
              <w:bottom w:val="single" w:color="1A3C5E" w:sz="1"/>
              <w:right w:val="single" w:color="1A3C5E" w:sz="1"/>
            </w:tcBorders>
            <w:shd w:fill="1A3C5E" w:val="clear"/>
            <w:tcMar>
              <w:top w:type="dxa" w:w="80"/>
              <w:left w:type="dxa" w:w="80"/>
              <w:bottom w:type="dxa" w:w="80"/>
              <w:right w:type="dxa" w:w="80"/>
            </w:tcMar>
          </w:tcPr>
          <w:p>
            <w:pPr>
              <w:jc w:val="center"/>
            </w:pPr>
            <w:r>
              <w:rPr>
                <w:rFonts w:ascii="Arial" w:cs="Arial" w:eastAsia="Arial" w:hAnsi="Arial"/>
                <w:b/>
                <w:bCs/>
                <w:color w:val="FFFFFF"/>
                <w:sz w:val="16"/>
                <w:szCs w:val="16"/>
              </w:rPr>
              <w:t xml:space="preserve">FUNCTION &amp; REQUIREMENT</w:t>
            </w:r>
          </w:p>
        </w:tc>
        <w:tc>
          <w:tcPr>
            <w:tcBorders>
              <w:top w:val="single" w:color="1A3C5E" w:sz="1"/>
              <w:left w:val="single" w:color="1A3C5E" w:sz="1"/>
              <w:bottom w:val="single" w:color="1A3C5E" w:sz="1"/>
              <w:right w:val="single" w:color="1A3C5E" w:sz="1"/>
            </w:tcBorders>
            <w:shd w:fill="1A3C5E" w:val="clear"/>
            <w:tcMar>
              <w:top w:type="dxa" w:w="80"/>
              <w:left w:type="dxa" w:w="80"/>
              <w:bottom w:type="dxa" w:w="80"/>
              <w:right w:type="dxa" w:w="80"/>
            </w:tcMar>
          </w:tcPr>
          <w:p>
            <w:pPr>
              <w:jc w:val="center"/>
            </w:pPr>
            <w:r>
              <w:rPr>
                <w:rFonts w:ascii="Arial" w:cs="Arial" w:eastAsia="Arial" w:hAnsi="Arial"/>
                <w:b/>
                <w:bCs/>
                <w:color w:val="FFFFFF"/>
                <w:sz w:val="16"/>
                <w:szCs w:val="16"/>
              </w:rPr>
              <w:t xml:space="preserve">LEAD TIME</w:t>
            </w:r>
          </w:p>
        </w:tc>
      </w:tr>
      <w:tr>
        <w:tc>
          <w:tcPr>
            <w:tcBorders>
              <w:top w:val="single" w:color="D0DDE8" w:sz="1"/>
              <w:left w:val="single" w:color="D0DDE8" w:sz="1"/>
              <w:bottom w:val="single" w:color="D0DDE8" w:sz="1"/>
              <w:right w:val="single" w:color="D0DDE8" w:sz="1"/>
            </w:tcBorders>
            <w:shd w:fill="1A3C5E"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01</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b/>
                <w:bCs/>
                <w:color w:val="1A3C5E"/>
                <w:sz w:val="17"/>
                <w:szCs w:val="17"/>
              </w:rPr>
              <w:t xml:space="preserve">🛰 SATELLITE DETECTION</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color w:val="1A2A3A"/>
                <w:sz w:val="17"/>
                <w:szCs w:val="17"/>
              </w:rPr>
              <w:t xml:space="preserve">Copernicus/ESA Sentinel detects moisture anomaly and convective system over Lake Malawi basin. WMO SWFDP ensemble forecast triggers probabilistic flood alert. REQUIREMENT: SOFF-funded observation network.</w:t>
            </w:r>
          </w:p>
        </w:tc>
        <w:tc>
          <w:tcPr>
            <w:tcBorders>
              <w:top w:val="single" w:color="1A3C5E" w:sz="1"/>
              <w:left w:val="single" w:color="1A3C5E" w:sz="1"/>
              <w:bottom w:val="single" w:color="1A3C5E" w:sz="1"/>
              <w:right w:val="single" w:color="1A3C5E" w:sz="1"/>
            </w:tcBorders>
            <w:shd w:fill="F0F4F8" w:val="clear"/>
            <w:tcMar>
              <w:top w:type="dxa" w:w="100"/>
              <w:left w:type="dxa" w:w="80"/>
              <w:bottom w:type="dxa" w:w="100"/>
              <w:right w:type="dxa" w:w="80"/>
            </w:tcMar>
            <w:vAlign w:val="center"/>
          </w:tcPr>
          <w:p>
            <w:pPr>
              <w:jc w:val="center"/>
            </w:pPr>
            <w:r>
              <w:rPr>
                <w:rFonts w:ascii="Arial" w:cs="Arial" w:eastAsia="Arial" w:hAnsi="Arial"/>
                <w:b/>
                <w:bCs/>
                <w:color w:val="1A3C5E"/>
                <w:sz w:val="16"/>
                <w:szCs w:val="16"/>
              </w:rPr>
              <w:t xml:space="preserve">T-72 hrs</w:t>
            </w:r>
          </w:p>
        </w:tc>
      </w:tr>
      <w:tr>
        <w:tc>
          <w:tcPr>
            <w:tcBorders>
              <w:top w:val="single" w:color="D0DDE8" w:sz="1"/>
              <w:left w:val="single" w:color="D0DDE8" w:sz="1"/>
              <w:bottom w:val="single" w:color="D0DDE8" w:sz="1"/>
              <w:right w:val="single" w:color="D0DDE8" w:sz="1"/>
            </w:tcBorders>
            <w:shd w:fill="1A7A6E"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02</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b/>
                <w:bCs/>
                <w:color w:val="1A7A6E"/>
                <w:sz w:val="17"/>
                <w:szCs w:val="17"/>
              </w:rPr>
              <w:t xml:space="preserve">🧠 AI PROCESSING (DCCMS)</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color w:val="1A2A3A"/>
                <w:sz w:val="17"/>
                <w:szCs w:val="17"/>
              </w:rPr>
              <w:t xml:space="preserve">DELTA AI engine ingests satellite data + 28-district vulnerability layers. Computes impact-based forecast: flood probability 87% for Nsanje/Chikwawa within 18 hrs. REQUIREMENT: Trained forecaster + computational infrastructure.</w:t>
            </w:r>
          </w:p>
        </w:tc>
        <w:tc>
          <w:tcPr>
            <w:tcBorders>
              <w:top w:val="single" w:color="1A7A6E" w:sz="1"/>
              <w:left w:val="single" w:color="1A7A6E" w:sz="1"/>
              <w:bottom w:val="single" w:color="1A7A6E" w:sz="1"/>
              <w:right w:val="single" w:color="1A7A6E" w:sz="1"/>
            </w:tcBorders>
            <w:shd w:fill="FFFFFF" w:val="clear"/>
            <w:tcMar>
              <w:top w:type="dxa" w:w="100"/>
              <w:left w:type="dxa" w:w="80"/>
              <w:bottom w:type="dxa" w:w="100"/>
              <w:right w:type="dxa" w:w="80"/>
            </w:tcMar>
            <w:vAlign w:val="center"/>
          </w:tcPr>
          <w:p>
            <w:pPr>
              <w:jc w:val="center"/>
            </w:pPr>
            <w:r>
              <w:rPr>
                <w:rFonts w:ascii="Arial" w:cs="Arial" w:eastAsia="Arial" w:hAnsi="Arial"/>
                <w:b/>
                <w:bCs/>
                <w:color w:val="1A7A6E"/>
                <w:sz w:val="16"/>
                <w:szCs w:val="16"/>
              </w:rPr>
              <w:t xml:space="preserve">T-68 hrs</w:t>
            </w:r>
          </w:p>
        </w:tc>
      </w:tr>
      <w:tr>
        <w:tc>
          <w:tcPr>
            <w:tcBorders>
              <w:top w:val="single" w:color="D0DDE8" w:sz="1"/>
              <w:left w:val="single" w:color="D0DDE8" w:sz="1"/>
              <w:bottom w:val="single" w:color="D0DDE8" w:sz="1"/>
              <w:right w:val="single" w:color="D0DDE8" w:sz="1"/>
            </w:tcBorders>
            <w:shd w:fill="E07B39"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03</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b/>
                <w:bCs/>
                <w:color w:val="E07B39"/>
                <w:sz w:val="17"/>
                <w:szCs w:val="17"/>
              </w:rPr>
              <w:t xml:space="preserve">📱 MNO BROADCAST</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color w:val="1A2A3A"/>
                <w:sz w:val="17"/>
                <w:szCs w:val="17"/>
              </w:rPr>
              <w:t xml:space="preserve">DCCMS DELTA API triggers Airtel/TNM emergency SMS to all active handsets in Nsanje/Chikwawa cell zones. Cell Broadcast (CBS) sends secondary alert to all handsets regardless of registration. REQUIREMENT: Active API integration agreement.</w:t>
            </w:r>
          </w:p>
        </w:tc>
        <w:tc>
          <w:tcPr>
            <w:tcBorders>
              <w:top w:val="single" w:color="E07B39" w:sz="1"/>
              <w:left w:val="single" w:color="E07B39" w:sz="1"/>
              <w:bottom w:val="single" w:color="E07B39" w:sz="1"/>
              <w:right w:val="single" w:color="E07B39" w:sz="1"/>
            </w:tcBorders>
            <w:shd w:fill="F0F4F8" w:val="clear"/>
            <w:tcMar>
              <w:top w:type="dxa" w:w="100"/>
              <w:left w:type="dxa" w:w="80"/>
              <w:bottom w:type="dxa" w:w="100"/>
              <w:right w:type="dxa" w:w="80"/>
            </w:tcMar>
            <w:vAlign w:val="center"/>
          </w:tcPr>
          <w:p>
            <w:pPr>
              <w:jc w:val="center"/>
            </w:pPr>
            <w:r>
              <w:rPr>
                <w:rFonts w:ascii="Arial" w:cs="Arial" w:eastAsia="Arial" w:hAnsi="Arial"/>
                <w:b/>
                <w:bCs/>
                <w:color w:val="E07B39"/>
                <w:sz w:val="16"/>
                <w:szCs w:val="16"/>
              </w:rPr>
              <w:t xml:space="preserve">T-67 hrs</w:t>
            </w:r>
          </w:p>
        </w:tc>
      </w:tr>
      <w:tr>
        <w:tc>
          <w:tcPr>
            <w:tcBorders>
              <w:top w:val="single" w:color="D0DDE8" w:sz="1"/>
              <w:left w:val="single" w:color="D0DDE8" w:sz="1"/>
              <w:bottom w:val="single" w:color="D0DDE8" w:sz="1"/>
              <w:right w:val="single" w:color="D0DDE8" w:sz="1"/>
            </w:tcBorders>
            <w:shd w:fill="27AE60"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04</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b/>
                <w:bCs/>
                <w:color w:val="27AE60"/>
                <w:sz w:val="17"/>
                <w:szCs w:val="17"/>
              </w:rPr>
              <w:t xml:space="preserve">📻 COMMUNITY RADIO</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color w:val="1A2A3A"/>
                <w:sz w:val="17"/>
                <w:szCs w:val="17"/>
              </w:rPr>
              <w:t xml:space="preserve">Alert simultaneously transmitted to 3 community radio stations. Broadcast in Chichewa, Sena, and Yao in action-specific format: 'Farmers harvest now. Families move to high ground by tomorrow morning.' REQUIREMENT: Pre-scripted IBF message templates.</w:t>
            </w:r>
          </w:p>
        </w:tc>
        <w:tc>
          <w:tcPr>
            <w:tcBorders>
              <w:top w:val="single" w:color="27AE60" w:sz="1"/>
              <w:left w:val="single" w:color="27AE60" w:sz="1"/>
              <w:bottom w:val="single" w:color="27AE60" w:sz="1"/>
              <w:right w:val="single" w:color="27AE60" w:sz="1"/>
            </w:tcBorders>
            <w:shd w:fill="FFFFFF" w:val="clear"/>
            <w:tcMar>
              <w:top w:type="dxa" w:w="100"/>
              <w:left w:type="dxa" w:w="80"/>
              <w:bottom w:type="dxa" w:w="100"/>
              <w:right w:type="dxa" w:w="80"/>
            </w:tcMar>
            <w:vAlign w:val="center"/>
          </w:tcPr>
          <w:p>
            <w:pPr>
              <w:jc w:val="center"/>
            </w:pPr>
            <w:r>
              <w:rPr>
                <w:rFonts w:ascii="Arial" w:cs="Arial" w:eastAsia="Arial" w:hAnsi="Arial"/>
                <w:b/>
                <w:bCs/>
                <w:color w:val="27AE60"/>
                <w:sz w:val="16"/>
                <w:szCs w:val="16"/>
              </w:rPr>
              <w:t xml:space="preserve">T-66 hrs</w:t>
            </w:r>
          </w:p>
        </w:tc>
      </w:tr>
      <w:tr>
        <w:tc>
          <w:tcPr>
            <w:tcBorders>
              <w:top w:val="single" w:color="D0DDE8" w:sz="1"/>
              <w:left w:val="single" w:color="D0DDE8" w:sz="1"/>
              <w:bottom w:val="single" w:color="D0DDE8" w:sz="1"/>
              <w:right w:val="single" w:color="D0DDE8" w:sz="1"/>
            </w:tcBorders>
            <w:shd w:fill="1A7A6E"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05</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b/>
                <w:bCs/>
                <w:color w:val="1A7A6E"/>
                <w:sz w:val="17"/>
                <w:szCs w:val="17"/>
              </w:rPr>
              <w:t xml:space="preserve">🔆 SOLAR CAT TERMINAL</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color w:val="1A2A3A"/>
                <w:sz w:val="17"/>
                <w:szCs w:val="17"/>
              </w:rPr>
              <w:t xml:space="preserve">Community Alert Focal Person at solar terminal receives broadcast, activates acoustic siren audible 2 km radius. Visits 12 registered off-network households personally. REQUIREMENT: Trained CAFP, functional siren.</w:t>
            </w:r>
          </w:p>
        </w:tc>
        <w:tc>
          <w:tcPr>
            <w:tcBorders>
              <w:top w:val="single" w:color="1A7A6E" w:sz="1"/>
              <w:left w:val="single" w:color="1A7A6E" w:sz="1"/>
              <w:bottom w:val="single" w:color="1A7A6E" w:sz="1"/>
              <w:right w:val="single" w:color="1A7A6E" w:sz="1"/>
            </w:tcBorders>
            <w:shd w:fill="F0F4F8" w:val="clear"/>
            <w:tcMar>
              <w:top w:type="dxa" w:w="100"/>
              <w:left w:type="dxa" w:w="80"/>
              <w:bottom w:type="dxa" w:w="100"/>
              <w:right w:type="dxa" w:w="80"/>
            </w:tcMar>
            <w:vAlign w:val="center"/>
          </w:tcPr>
          <w:p>
            <w:pPr>
              <w:jc w:val="center"/>
            </w:pPr>
            <w:r>
              <w:rPr>
                <w:rFonts w:ascii="Arial" w:cs="Arial" w:eastAsia="Arial" w:hAnsi="Arial"/>
                <w:b/>
                <w:bCs/>
                <w:color w:val="1A7A6E"/>
                <w:sz w:val="16"/>
                <w:szCs w:val="16"/>
              </w:rPr>
              <w:t xml:space="preserve">T-65 hrs</w:t>
            </w:r>
          </w:p>
        </w:tc>
      </w:tr>
      <w:tr>
        <w:tc>
          <w:tcPr>
            <w:tcBorders>
              <w:top w:val="single" w:color="D0DDE8" w:sz="1"/>
              <w:left w:val="single" w:color="D0DDE8" w:sz="1"/>
              <w:bottom w:val="single" w:color="D0DDE8" w:sz="1"/>
              <w:right w:val="single" w:color="D0DDE8" w:sz="1"/>
            </w:tcBorders>
            <w:shd w:fill="1A3C5E"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06</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b/>
                <w:bCs/>
                <w:color w:val="1A3C5E"/>
                <w:sz w:val="17"/>
                <w:szCs w:val="17"/>
              </w:rPr>
              <w:t xml:space="preserve">🥁 VILLAGE ELDER / TRADITIONAL AUTHORITY</w:t>
            </w:r>
          </w:p>
        </w:tc>
        <w:tc>
          <w:tcPr>
            <w:tcBorders>
              <w:top w:val="single" w:color="D0DDE8" w:sz="1"/>
              <w:left w:val="single" w:color="D0DDE8" w:sz="1"/>
              <w:bottom w:val="single" w:color="D0DDE8" w:sz="1"/>
              <w:right w:val="single" w:color="D0DDE8" w:sz="1"/>
            </w:tcBorders>
            <w:shd w:fill="FFFFFF" w:val="clear"/>
            <w:tcMar>
              <w:top w:type="dxa" w:w="100"/>
              <w:left w:type="dxa" w:w="100"/>
              <w:bottom w:type="dxa" w:w="100"/>
              <w:right w:type="dxa" w:w="100"/>
            </w:tcMar>
          </w:tcPr>
          <w:p>
            <w:r>
              <w:rPr>
                <w:rFonts w:ascii="Arial" w:cs="Arial" w:eastAsia="Arial" w:hAnsi="Arial"/>
                <w:color w:val="1A2A3A"/>
                <w:sz w:val="17"/>
                <w:szCs w:val="17"/>
              </w:rPr>
              <w:t xml:space="preserve">Village headman activates community drum signal — a culturally recognized 'flood evacuation' pattern known to all residents since childhood. Confirms message in local language, references familiar landmarks. REQUIREMENT: Pre-agreed community action plan.</w:t>
            </w:r>
          </w:p>
        </w:tc>
        <w:tc>
          <w:tcPr>
            <w:tcBorders>
              <w:top w:val="single" w:color="1A3C5E" w:sz="1"/>
              <w:left w:val="single" w:color="1A3C5E" w:sz="1"/>
              <w:bottom w:val="single" w:color="1A3C5E" w:sz="1"/>
              <w:right w:val="single" w:color="1A3C5E" w:sz="1"/>
            </w:tcBorders>
            <w:shd w:fill="FFFFFF" w:val="clear"/>
            <w:tcMar>
              <w:top w:type="dxa" w:w="100"/>
              <w:left w:type="dxa" w:w="80"/>
              <w:bottom w:type="dxa" w:w="100"/>
              <w:right w:type="dxa" w:w="80"/>
            </w:tcMar>
            <w:vAlign w:val="center"/>
          </w:tcPr>
          <w:p>
            <w:pPr>
              <w:jc w:val="center"/>
            </w:pPr>
            <w:r>
              <w:rPr>
                <w:rFonts w:ascii="Arial" w:cs="Arial" w:eastAsia="Arial" w:hAnsi="Arial"/>
                <w:b/>
                <w:bCs/>
                <w:color w:val="1A3C5E"/>
                <w:sz w:val="16"/>
                <w:szCs w:val="16"/>
              </w:rPr>
              <w:t xml:space="preserve">T-64 hrs</w:t>
            </w:r>
          </w:p>
        </w:tc>
      </w:tr>
      <w:tr>
        <w:tc>
          <w:tcPr>
            <w:tcBorders>
              <w:top w:val="single" w:color="D0DDE8" w:sz="1"/>
              <w:left w:val="single" w:color="D0DDE8" w:sz="1"/>
              <w:bottom w:val="single" w:color="D0DDE8" w:sz="1"/>
              <w:right w:val="single" w:color="D0DDE8" w:sz="1"/>
            </w:tcBorders>
            <w:shd w:fill="27AE60" w:val="clear"/>
            <w:tcMar>
              <w:top w:type="dxa" w:w="100"/>
              <w:left w:type="dxa" w:w="80"/>
              <w:bottom w:type="dxa" w:w="100"/>
              <w:right w:type="dxa" w:w="80"/>
            </w:tcMar>
            <w:vAlign w:val="center"/>
          </w:tcPr>
          <w:p>
            <w:pPr>
              <w:jc w:val="center"/>
            </w:pPr>
            <w:r>
              <w:rPr>
                <w:rFonts w:ascii="Arial" w:cs="Arial" w:eastAsia="Arial" w:hAnsi="Arial"/>
                <w:b/>
                <w:bCs/>
                <w:color w:val="FFFFFF"/>
                <w:sz w:val="18"/>
                <w:szCs w:val="18"/>
              </w:rPr>
              <w:t xml:space="preserve">07</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b/>
                <w:bCs/>
                <w:color w:val="27AE60"/>
                <w:sz w:val="17"/>
                <w:szCs w:val="17"/>
              </w:rPr>
              <w:t xml:space="preserve">🏃 COMMUNITY ACTION</w:t>
            </w:r>
          </w:p>
        </w:tc>
        <w:tc>
          <w:tcPr>
            <w:tcBorders>
              <w:top w:val="single" w:color="D0DDE8" w:sz="1"/>
              <w:left w:val="single" w:color="D0DDE8" w:sz="1"/>
              <w:bottom w:val="single" w:color="D0DDE8" w:sz="1"/>
              <w:right w:val="single" w:color="D0DDE8" w:sz="1"/>
            </w:tcBorders>
            <w:shd w:fill="F0F4F8" w:val="clear"/>
            <w:tcMar>
              <w:top w:type="dxa" w:w="100"/>
              <w:left w:type="dxa" w:w="100"/>
              <w:bottom w:type="dxa" w:w="100"/>
              <w:right w:type="dxa" w:w="100"/>
            </w:tcMar>
          </w:tcPr>
          <w:p>
            <w:r>
              <w:rPr>
                <w:rFonts w:ascii="Arial" w:cs="Arial" w:eastAsia="Arial" w:hAnsi="Arial"/>
                <w:color w:val="1A2A3A"/>
                <w:sz w:val="17"/>
                <w:szCs w:val="17"/>
              </w:rPr>
              <w:t xml:space="preserve">Households evacuate to pre-identified high-ground assembly points. Farmers harvest/store crops. Persons with disabilities assisted by designated neighborhood helpers. Water and food stocks confirmed. REQUIREMENT: Regular drills, accessible evacuation routes.</w:t>
            </w:r>
          </w:p>
        </w:tc>
        <w:tc>
          <w:tcPr>
            <w:tcBorders>
              <w:top w:val="single" w:color="27AE60" w:sz="1"/>
              <w:left w:val="single" w:color="27AE60" w:sz="1"/>
              <w:bottom w:val="single" w:color="27AE60" w:sz="1"/>
              <w:right w:val="single" w:color="27AE60" w:sz="1"/>
            </w:tcBorders>
            <w:shd w:fill="F0F4F8" w:val="clear"/>
            <w:tcMar>
              <w:top w:type="dxa" w:w="100"/>
              <w:left w:type="dxa" w:w="80"/>
              <w:bottom w:type="dxa" w:w="100"/>
              <w:right w:type="dxa" w:w="80"/>
            </w:tcMar>
            <w:vAlign w:val="center"/>
          </w:tcPr>
          <w:p>
            <w:pPr>
              <w:jc w:val="center"/>
            </w:pPr>
            <w:r>
              <w:rPr>
                <w:rFonts w:ascii="Arial" w:cs="Arial" w:eastAsia="Arial" w:hAnsi="Arial"/>
                <w:b/>
                <w:bCs/>
                <w:color w:val="27AE60"/>
                <w:sz w:val="16"/>
                <w:szCs w:val="16"/>
              </w:rPr>
              <w:t xml:space="preserve">T-48 hrs</w:t>
            </w:r>
          </w:p>
        </w:tc>
      </w:tr>
    </w:tbl>
    <w:p>
      <w:pPr>
        <w:spacing w:before="0" w:after="24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07B39" w:sz="1"/>
              <w:left w:val="single" w:color="E07B39" w:sz="1"/>
              <w:bottom w:val="single" w:color="E07B39" w:sz="1"/>
              <w:right w:val="single" w:color="E07B39" w:sz="1"/>
            </w:tcBorders>
            <w:shd w:fill="E07B39"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DELIVERABLE 3: BUDGET PROPOSAL — PRE-DISASTER INVESTMENT</w:t>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The Strategic Case for a 15% Budget Reallocation</w:t>
      </w:r>
    </w:p>
    <w:p>
      <w:pPr>
        <w:spacing w:before="80" w:after="80" w:line="276"/>
        <w:jc w:val="both"/>
      </w:pPr>
      <w:r>
        <w:rPr>
          <w:rFonts w:ascii="Arial" w:cs="Arial" w:eastAsia="Arial" w:hAnsi="Arial"/>
          <w:color w:val="1A2A3A"/>
          <w:sz w:val="20"/>
          <w:szCs w:val="20"/>
        </w:rPr>
        <w:t xml:space="preserve">The current global architecture of disaster finance is systemically miscalibrated: the overwhelming majority of funding flows to emergency response — food aid, shelter, medical teams — after disasters strike, rather than to the communication infrastructure that prevents disasters from becoming catastrophes. This roadmap proposes a structural shift, reallocating 15% of Malawi's Emergency Response budget — estimated at US$12 million based on 2024–2025 DoDMA emergency expenditure patterns — into permanent pre-disaster communication infrastructure. This is a direct implementation of Sendai Framework Priority 3: Investing in Disaster Risk Reduction for Resilience.</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E8F4F2" w:sz="1"/>
              <w:left w:val="single" w:color="E8F4F2" w:sz="1"/>
              <w:bottom w:val="single" w:color="E8F4F2" w:sz="1"/>
              <w:right w:val="single" w:color="E8F4F2" w:sz="1"/>
            </w:tcBorders>
            <w:shd w:fill="1A7A6E"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ECONOMIC RATIONALE</w:t>
            </w:r>
          </w:p>
        </w:tc>
        <w:tc>
          <w:tcPr>
            <w:tcBorders>
              <w:top w:val="single" w:color="E8F4F2" w:sz="1"/>
              <w:left w:val="single" w:color="E8F4F2" w:sz="1"/>
              <w:bottom w:val="single" w:color="E8F4F2" w:sz="1"/>
              <w:right w:val="single" w:color="E8F4F2" w:sz="1"/>
            </w:tcBorders>
            <w:shd w:fill="E8F4F2" w:val="clear"/>
            <w:tcMar>
              <w:top w:type="dxa" w:w="120"/>
              <w:left w:type="dxa" w:w="160"/>
              <w:bottom w:type="dxa" w:w="120"/>
              <w:right w:type="dxa" w:w="160"/>
            </w:tcMar>
          </w:tcPr>
          <w:p>
            <w:r>
              <w:rPr>
                <w:rFonts w:ascii="Arial" w:cs="Arial" w:eastAsia="Arial" w:hAnsi="Arial"/>
                <w:color w:val="1A2A3A"/>
                <w:sz w:val="20"/>
                <w:szCs w:val="20"/>
              </w:rPr>
              <w:t xml:space="preserve">DCCMS Director Lucy Mtilatila presented cost-benefit analysis showing that every dollar invested in meteorological services yields up to $14 in benefits. A US$12M pre-disaster communication investment, under conservative assumptions, generates US$84–$168M in avoided losses over five years — a return-on-investment ratio unmatched in any emergency response budget line.</w:t>
            </w:r>
          </w:p>
        </w:tc>
      </w:tr>
    </w:tbl>
    <w:p>
      <w:pPr>
        <w:spacing w:before="0" w:after="120"/>
      </w:pPr>
      <w:r>
        <w:t xml:space="preserve"/>
      </w:r>
    </w:p>
    <w:p>
      <w:pPr>
        <w:pStyle w:val="Heading3"/>
        <w:spacing w:before="200" w:after="80"/>
      </w:pPr>
      <w:r>
        <w:rPr>
          <w:rFonts w:ascii="Arial" w:cs="Arial" w:eastAsia="Arial" w:hAnsi="Arial"/>
          <w:b/>
          <w:bCs/>
          <w:color w:val="E07B39"/>
          <w:sz w:val="22"/>
          <w:szCs w:val="22"/>
        </w:rPr>
        <w:t xml:space="preserve">Budget Allocation Table — US$12 Million (2026–2030)</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1500"/>
        <w:gridCol w:w="1400"/>
        <w:gridCol w:w="1360"/>
        <w:gridCol w:w="1300"/>
      </w:tblGrid>
      <w:tr>
        <w:tc>
          <w:tcPr>
            <w:tcBorders>
              <w:top w:val="single" w:color="1A3C5E" w:sz="1"/>
              <w:left w:val="single" w:color="1A3C5E" w:sz="1"/>
              <w:bottom w:val="single" w:color="1A3C5E" w:sz="1"/>
              <w:right w:val="single" w:color="1A3C5E" w:sz="1"/>
            </w:tcBorders>
            <w:shd w:fill="1A3C5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LINE ITEM</w:t>
            </w:r>
          </w:p>
        </w:tc>
        <w:tc>
          <w:tcPr>
            <w:tcBorders>
              <w:top w:val="single" w:color="1A3C5E" w:sz="1"/>
              <w:left w:val="single" w:color="1A3C5E" w:sz="1"/>
              <w:bottom w:val="single" w:color="1A3C5E" w:sz="1"/>
              <w:right w:val="single" w:color="1A3C5E" w:sz="1"/>
            </w:tcBorders>
            <w:shd w:fill="1A3C5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AMOUNT</w:t>
            </w:r>
          </w:p>
        </w:tc>
        <w:tc>
          <w:tcPr>
            <w:tcBorders>
              <w:top w:val="single" w:color="1A3C5E" w:sz="1"/>
              <w:left w:val="single" w:color="1A3C5E" w:sz="1"/>
              <w:bottom w:val="single" w:color="1A3C5E" w:sz="1"/>
              <w:right w:val="single" w:color="1A3C5E" w:sz="1"/>
            </w:tcBorders>
            <w:shd w:fill="1A3C5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 OF BUDGET</w:t>
            </w:r>
          </w:p>
        </w:tc>
        <w:tc>
          <w:tcPr>
            <w:tcBorders>
              <w:top w:val="single" w:color="1A3C5E" w:sz="1"/>
              <w:left w:val="single" w:color="1A3C5E" w:sz="1"/>
              <w:bottom w:val="single" w:color="1A3C5E" w:sz="1"/>
              <w:right w:val="single" w:color="1A3C5E" w:sz="1"/>
            </w:tcBorders>
            <w:shd w:fill="1A3C5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IMPACT</w:t>
            </w:r>
          </w:p>
        </w:tc>
        <w:tc>
          <w:tcPr>
            <w:tcBorders>
              <w:top w:val="single" w:color="1A3C5E" w:sz="1"/>
              <w:left w:val="single" w:color="1A3C5E" w:sz="1"/>
              <w:bottom w:val="single" w:color="1A3C5E" w:sz="1"/>
              <w:right w:val="single" w:color="1A3C5E" w:sz="1"/>
            </w:tcBorders>
            <w:shd w:fill="1A3C5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PRIORITY</w:t>
            </w:r>
          </w:p>
        </w:tc>
      </w:tr>
      <w:tr>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Community Alert Networks (radio, sirens, SMS gateways)</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bCs/>
                <w:color w:val="1A2A3A"/>
                <w:sz w:val="17"/>
                <w:szCs w:val="17"/>
              </w:rPr>
              <w:t xml:space="preserve">US$4.2M</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35%</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High</w:t>
            </w:r>
          </w:p>
        </w:tc>
        <w:tc>
          <w:tcPr>
            <w:tcBorders>
              <w:top w:val="single" w:color="27AE60" w:sz="1"/>
              <w:left w:val="single" w:color="27AE60" w:sz="1"/>
              <w:bottom w:val="single" w:color="27AE60" w:sz="1"/>
              <w:right w:val="single" w:color="27AE60" w:sz="1"/>
            </w:tcBorders>
            <w:shd w:fill="27AE60"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High</w:t>
            </w:r>
          </w:p>
        </w:tc>
      </w:tr>
      <w:tr>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Indigenous Knowledge Documentation &amp; DRR Training</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bCs/>
                <w:color w:val="1A2A3A"/>
                <w:sz w:val="17"/>
                <w:szCs w:val="17"/>
              </w:rPr>
              <w:t xml:space="preserve">US$2.4M</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20%</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High</w:t>
            </w:r>
          </w:p>
        </w:tc>
        <w:tc>
          <w:tcPr>
            <w:tcBorders>
              <w:top w:val="single" w:color="27AE60" w:sz="1"/>
              <w:left w:val="single" w:color="27AE60" w:sz="1"/>
              <w:bottom w:val="single" w:color="27AE60" w:sz="1"/>
              <w:right w:val="single" w:color="27AE60" w:sz="1"/>
            </w:tcBorders>
            <w:shd w:fill="27AE60"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High</w:t>
            </w:r>
          </w:p>
        </w:tc>
      </w:tr>
      <w:tr>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Impact-Based Forecasting Software &amp; DELTA Integration</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bCs/>
                <w:color w:val="1A2A3A"/>
                <w:sz w:val="17"/>
                <w:szCs w:val="17"/>
              </w:rPr>
              <w:t xml:space="preserve">US$2.1M</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17.5%</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Medium</w:t>
            </w:r>
          </w:p>
        </w:tc>
        <w:tc>
          <w:tcPr>
            <w:tcBorders>
              <w:top w:val="single" w:color="E07B39" w:sz="1"/>
              <w:left w:val="single" w:color="E07B39" w:sz="1"/>
              <w:bottom w:val="single" w:color="E07B39" w:sz="1"/>
              <w:right w:val="single" w:color="E07B39" w:sz="1"/>
            </w:tcBorders>
            <w:shd w:fill="E07B39"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Medium</w:t>
            </w:r>
          </w:p>
        </w:tc>
      </w:tr>
      <w:tr>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Weather Station Rehabilitation (28→80 operational)</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bCs/>
                <w:color w:val="1A2A3A"/>
                <w:sz w:val="17"/>
                <w:szCs w:val="17"/>
              </w:rPr>
              <w:t xml:space="preserve">US$1.8M</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15%</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High</w:t>
            </w:r>
          </w:p>
        </w:tc>
        <w:tc>
          <w:tcPr>
            <w:tcBorders>
              <w:top w:val="single" w:color="E07B39" w:sz="1"/>
              <w:left w:val="single" w:color="E07B39" w:sz="1"/>
              <w:bottom w:val="single" w:color="E07B39" w:sz="1"/>
              <w:right w:val="single" w:color="E07B39" w:sz="1"/>
            </w:tcBorders>
            <w:shd w:fill="E07B39"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High</w:t>
            </w:r>
          </w:p>
        </w:tc>
      </w:tr>
      <w:tr>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Multi-language Alert Translation Platform</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bCs/>
                <w:color w:val="1A2A3A"/>
                <w:sz w:val="17"/>
                <w:szCs w:val="17"/>
              </w:rPr>
              <w:t xml:space="preserve">US$0.9M</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7.5%</w:t>
            </w:r>
          </w:p>
        </w:tc>
        <w:tc>
          <w:tcPr>
            <w:tcBorders>
              <w:top w:val="single" w:color="D0DDE8" w:sz="1"/>
              <w:left w:val="single" w:color="D0DDE8" w:sz="1"/>
              <w:bottom w:val="single" w:color="D0DDE8" w:sz="1"/>
              <w:right w:val="single" w:color="D0DDE8" w:sz="1"/>
            </w:tcBorders>
            <w:shd w:fill="F0F4F8" w:val="clear"/>
            <w:tcMar>
              <w:top w:type="dxa" w:w="80"/>
              <w:left w:type="dxa" w:w="100"/>
              <w:bottom w:type="dxa" w:w="80"/>
              <w:right w:type="dxa" w:w="100"/>
            </w:tcMar>
          </w:tcPr>
          <w:p>
            <w:r>
              <w:rPr>
                <w:rFonts w:ascii="Arial" w:cs="Arial" w:eastAsia="Arial" w:hAnsi="Arial"/>
                <w:b w:val="false"/>
                <w:bCs w:val="false"/>
                <w:color w:val="1A2A3A"/>
                <w:sz w:val="17"/>
                <w:szCs w:val="17"/>
              </w:rPr>
              <w:t xml:space="preserve">Medium</w:t>
            </w:r>
          </w:p>
        </w:tc>
        <w:tc>
          <w:tcPr>
            <w:tcBorders>
              <w:top w:val="single" w:color="1A7A6E" w:sz="1"/>
              <w:left w:val="single" w:color="1A7A6E" w:sz="1"/>
              <w:bottom w:val="single" w:color="1A7A6E" w:sz="1"/>
              <w:right w:val="single" w:color="1A7A6E" w:sz="1"/>
            </w:tcBorders>
            <w:shd w:fill="1A7A6E"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Medium</w:t>
            </w:r>
          </w:p>
        </w:tc>
      </w:tr>
      <w:tr>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Monitoring &amp; Evaluation Framework</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bCs/>
                <w:color w:val="1A2A3A"/>
                <w:sz w:val="17"/>
                <w:szCs w:val="17"/>
              </w:rPr>
              <w:t xml:space="preserve">US$0.6M</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5%</w:t>
            </w:r>
          </w:p>
        </w:tc>
        <w:tc>
          <w:tcPr>
            <w:tcBorders>
              <w:top w:val="single" w:color="D0DDE8" w:sz="1"/>
              <w:left w:val="single" w:color="D0DDE8" w:sz="1"/>
              <w:bottom w:val="single" w:color="D0DDE8" w:sz="1"/>
              <w:right w:val="single" w:color="D0DDE8" w:sz="1"/>
            </w:tcBorders>
            <w:shd w:fill="FFFFFF" w:val="clear"/>
            <w:tcMar>
              <w:top w:type="dxa" w:w="80"/>
              <w:left w:type="dxa" w:w="100"/>
              <w:bottom w:type="dxa" w:w="80"/>
              <w:right w:type="dxa" w:w="100"/>
            </w:tcMar>
          </w:tcPr>
          <w:p>
            <w:r>
              <w:rPr>
                <w:rFonts w:ascii="Arial" w:cs="Arial" w:eastAsia="Arial" w:hAnsi="Arial"/>
                <w:b w:val="false"/>
                <w:bCs w:val="false"/>
                <w:color w:val="1A2A3A"/>
                <w:sz w:val="17"/>
                <w:szCs w:val="17"/>
              </w:rPr>
              <w:t xml:space="preserve">Low</w:t>
            </w:r>
          </w:p>
        </w:tc>
        <w:tc>
          <w:tcPr>
            <w:tcBorders>
              <w:top w:val="single" w:color="5A6A7A" w:sz="1"/>
              <w:left w:val="single" w:color="5A6A7A" w:sz="1"/>
              <w:bottom w:val="single" w:color="5A6A7A" w:sz="1"/>
              <w:right w:val="single" w:color="5A6A7A" w:sz="1"/>
            </w:tcBorders>
            <w:shd w:fill="5A6A7A" w:val="clear"/>
            <w:tcMar>
              <w:top w:type="dxa" w:w="80"/>
              <w:left w:type="dxa" w:w="100"/>
              <w:bottom w:type="dxa" w:w="80"/>
              <w:right w:type="dxa" w:w="100"/>
            </w:tcMar>
          </w:tcPr>
          <w:p>
            <w:pPr>
              <w:jc w:val="center"/>
            </w:pPr>
            <w:r>
              <w:rPr>
                <w:rFonts w:ascii="Arial" w:cs="Arial" w:eastAsia="Arial" w:hAnsi="Arial"/>
                <w:b/>
                <w:bCs/>
                <w:color w:val="FFFFFF"/>
                <w:sz w:val="17"/>
                <w:szCs w:val="17"/>
              </w:rPr>
              <w:t xml:space="preserve">Low</w:t>
            </w:r>
          </w:p>
        </w:tc>
      </w:tr>
      <w:tr>
        <w:tc>
          <w:tcPr>
            <w:tcBorders>
              <w:top w:val="single" w:color="D0DDE8" w:sz="1"/>
              <w:left w:val="single" w:color="D0DDE8" w:sz="1"/>
              <w:bottom w:val="single" w:color="D0DDE8" w:sz="1"/>
              <w:right w:val="single" w:color="D0DDE8" w:sz="1"/>
            </w:tcBorders>
            <w:shd w:fill="1A3C5E" w:val="clear"/>
            <w:tcMar>
              <w:top w:type="dxa" w:w="80"/>
              <w:left w:type="dxa" w:w="100"/>
              <w:bottom w:type="dxa" w:w="80"/>
              <w:right w:type="dxa" w:w="100"/>
            </w:tcMar>
          </w:tcPr>
          <w:p>
            <w:r>
              <w:rPr>
                <w:rFonts w:ascii="Arial" w:cs="Arial" w:eastAsia="Arial" w:hAnsi="Arial"/>
                <w:b/>
                <w:bCs/>
                <w:color w:val="FFFFFF"/>
                <w:sz w:val="17"/>
                <w:szCs w:val="17"/>
              </w:rPr>
              <w:t xml:space="preserve">TOTAL PRE-DISASTER COMMUNICATION INFRASTRUCTURE</w:t>
            </w:r>
          </w:p>
        </w:tc>
        <w:tc>
          <w:tcPr>
            <w:tcBorders>
              <w:top w:val="single" w:color="D0DDE8" w:sz="1"/>
              <w:left w:val="single" w:color="D0DDE8" w:sz="1"/>
              <w:bottom w:val="single" w:color="D0DDE8" w:sz="1"/>
              <w:right w:val="single" w:color="D0DDE8" w:sz="1"/>
            </w:tcBorders>
            <w:shd w:fill="1A3C5E" w:val="clear"/>
            <w:tcMar>
              <w:top w:type="dxa" w:w="80"/>
              <w:left w:type="dxa" w:w="100"/>
              <w:bottom w:type="dxa" w:w="80"/>
              <w:right w:type="dxa" w:w="100"/>
            </w:tcMar>
          </w:tcPr>
          <w:p>
            <w:r>
              <w:rPr>
                <w:rFonts w:ascii="Arial" w:cs="Arial" w:eastAsia="Arial" w:hAnsi="Arial"/>
                <w:b/>
                <w:bCs/>
                <w:color w:val="FFFFFF"/>
                <w:sz w:val="17"/>
                <w:szCs w:val="17"/>
              </w:rPr>
              <w:t xml:space="preserve">US$12.0M</w:t>
            </w:r>
          </w:p>
        </w:tc>
        <w:tc>
          <w:tcPr>
            <w:tcBorders>
              <w:top w:val="single" w:color="D0DDE8" w:sz="1"/>
              <w:left w:val="single" w:color="D0DDE8" w:sz="1"/>
              <w:bottom w:val="single" w:color="D0DDE8" w:sz="1"/>
              <w:right w:val="single" w:color="D0DDE8" w:sz="1"/>
            </w:tcBorders>
            <w:shd w:fill="1A3C5E" w:val="clear"/>
            <w:tcMar>
              <w:top w:type="dxa" w:w="80"/>
              <w:left w:type="dxa" w:w="100"/>
              <w:bottom w:type="dxa" w:w="80"/>
              <w:right w:type="dxa" w:w="100"/>
            </w:tcMar>
          </w:tcPr>
          <w:p>
            <w:r>
              <w:rPr>
                <w:rFonts w:ascii="Arial" w:cs="Arial" w:eastAsia="Arial" w:hAnsi="Arial"/>
                <w:b/>
                <w:bCs/>
                <w:color w:val="FFFFFF"/>
                <w:sz w:val="17"/>
                <w:szCs w:val="17"/>
              </w:rPr>
              <w:t xml:space="preserve">100%</w:t>
            </w:r>
          </w:p>
        </w:tc>
        <w:tc>
          <w:tcPr>
            <w:tcBorders>
              <w:top w:val="single" w:color="D0DDE8" w:sz="1"/>
              <w:left w:val="single" w:color="D0DDE8" w:sz="1"/>
              <w:bottom w:val="single" w:color="D0DDE8" w:sz="1"/>
              <w:right w:val="single" w:color="D0DDE8" w:sz="1"/>
            </w:tcBorders>
            <w:shd w:fill="1A3C5E" w:val="clear"/>
            <w:tcMar>
              <w:top w:type="dxa" w:w="80"/>
              <w:left w:type="dxa" w:w="100"/>
              <w:bottom w:type="dxa" w:w="80"/>
              <w:right w:type="dxa" w:w="100"/>
            </w:tcMar>
          </w:tcPr>
          <w:p>
            <w:r>
              <w:rPr>
                <w:rFonts w:ascii="Arial" w:cs="Arial" w:eastAsia="Arial" w:hAnsi="Arial"/>
                <w:b w:val="false"/>
                <w:bCs w:val="false"/>
                <w:color w:val="1A2A3A"/>
                <w:sz w:val="17"/>
                <w:szCs w:val="17"/>
              </w:rPr>
              <w:t xml:space="preserve"/>
            </w:r>
          </w:p>
        </w:tc>
        <w:tc>
          <w:tcPr>
            <w:tcBorders>
              <w:top w:val="single" w:color="D0DDE8" w:sz="1"/>
              <w:left w:val="single" w:color="D0DDE8" w:sz="1"/>
              <w:bottom w:val="single" w:color="D0DDE8" w:sz="1"/>
              <w:right w:val="single" w:color="D0DDE8" w:sz="1"/>
            </w:tcBorders>
            <w:shd w:fill="1A3C5E" w:val="clear"/>
            <w:tcMar>
              <w:top w:type="dxa" w:w="80"/>
              <w:left w:type="dxa" w:w="100"/>
              <w:bottom w:type="dxa" w:w="80"/>
              <w:right w:type="dxa" w:w="100"/>
            </w:tcMar>
          </w:tcPr>
          <w:p>
            <w:r>
              <w:rPr>
                <w:rFonts w:ascii="Arial" w:cs="Arial" w:eastAsia="Arial" w:hAnsi="Arial"/>
                <w:b w:val="false"/>
                <w:bCs w:val="false"/>
                <w:color w:val="1A2A3A"/>
                <w:sz w:val="17"/>
                <w:szCs w:val="17"/>
              </w:rPr>
              <w:t xml:space="preserve"/>
            </w:r>
          </w:p>
        </w:tc>
      </w:tr>
    </w:tbl>
    <w:p>
      <w:pPr>
        <w:spacing w:before="0" w:after="120"/>
      </w:pPr>
      <w:r>
        <w:t xml:space="preserve"/>
      </w:r>
    </w:p>
    <w:p>
      <w:pPr>
        <w:pStyle w:val="Heading2"/>
        <w:pBdr>
          <w:bottom w:val="single" w:color="1A7A6E" w:sz="4" w:space="4"/>
        </w:pBdr>
        <w:spacing w:before="280" w:after="120"/>
      </w:pPr>
      <w:r>
        <w:rPr>
          <w:rFonts w:ascii="Arial" w:cs="Arial" w:eastAsia="Arial" w:hAnsi="Arial"/>
          <w:b/>
          <w:bCs/>
          <w:color w:val="1A7A6E"/>
          <w:sz w:val="26"/>
          <w:szCs w:val="26"/>
        </w:rPr>
        <w:t xml:space="preserve">The Argument for Structural Reallocation</w:t>
      </w:r>
    </w:p>
    <w:p>
      <w:pPr>
        <w:spacing w:before="80" w:after="80" w:line="276"/>
        <w:jc w:val="both"/>
      </w:pPr>
      <w:r>
        <w:rPr>
          <w:rFonts w:ascii="Arial" w:cs="Arial" w:eastAsia="Arial" w:hAnsi="Arial"/>
          <w:color w:val="1A2A3A"/>
          <w:sz w:val="20"/>
          <w:szCs w:val="20"/>
        </w:rPr>
        <w:t xml:space="preserve">Emergency response funding is fundamentally reactive: it addresses consequences rather than causes. A nation that spends 85% of its disaster budget on tents, emergency food rations, and post-disaster medical care is investing in the symptoms of a failure that a different 15% could have largely prevented. This reallocation does not reduce emergency capacity — it reduces the frequency and severity of emergencies that require that capacity.</w:t>
      </w:r>
    </w:p>
    <w:p>
      <w:pPr>
        <w:spacing w:before="0" w:after="60"/>
      </w:pPr>
      <w:r>
        <w:t xml:space="preserve"/>
      </w:r>
    </w:p>
    <w:p>
      <w:pPr>
        <w:spacing w:before="80" w:after="80" w:line="276"/>
        <w:jc w:val="both"/>
      </w:pPr>
      <w:r>
        <w:rPr>
          <w:rFonts w:ascii="Arial" w:cs="Arial" w:eastAsia="Arial" w:hAnsi="Arial"/>
          <w:color w:val="1A2A3A"/>
          <w:sz w:val="20"/>
          <w:szCs w:val="20"/>
        </w:rPr>
        <w:t xml:space="preserve">The evidence from Malawi is compelling. Tropical Storm Ana in January 2022 affected over 945,000 people and required hundreds of millions in emergency response. A functional impact-based forecasting system with community radio and CAT infrastructure — costing a fraction of the emergency response bill — could have converted that event from a disaster into a managed evacuation. The budget proposal is not a humanitarian argument; it is a fiscal argument grounded in actuarial logic.</w:t>
      </w:r>
    </w:p>
    <w:p>
      <w:pPr>
        <w:spacing w:before="0" w:after="12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3C5E" w:sz="1"/>
              <w:left w:val="single" w:color="1A3C5E" w:sz="1"/>
              <w:bottom w:val="single" w:color="1A3C5E" w:sz="1"/>
              <w:right w:val="single" w:color="1A3C5E" w:sz="1"/>
            </w:tcBorders>
            <w:shd w:fill="1A3C5E" w:val="clear"/>
            <w:tcMar>
              <w:top w:type="dxa" w:w="160"/>
              <w:left w:type="dxa" w:w="360"/>
              <w:bottom w:type="dxa" w:w="160"/>
              <w:right w:type="dxa" w:w="360"/>
            </w:tcMar>
          </w:tcPr>
          <w:p>
            <w:pPr>
              <w:jc w:val="center"/>
            </w:pPr>
            <w:r>
              <w:rPr>
                <w:rFonts w:ascii="Arial" w:cs="Arial" w:eastAsia="Arial" w:hAnsi="Arial"/>
                <w:b/>
                <w:bCs/>
                <w:color w:val="FFFFFF"/>
                <w:sz w:val="28"/>
                <w:szCs w:val="28"/>
              </w:rPr>
              <w:t xml:space="preserve">CONCLUSION: THE LAST MILE IS A GOVERNANCE PROBLEM</w:t>
            </w:r>
          </w:p>
        </w:tc>
      </w:tr>
    </w:tbl>
    <w:p>
      <w:pPr>
        <w:spacing w:before="0" w:after="120"/>
      </w:pPr>
      <w:r>
        <w:t xml:space="preserve"/>
      </w:r>
    </w:p>
    <w:p>
      <w:pPr>
        <w:spacing w:before="80" w:after="80" w:line="276"/>
        <w:jc w:val="both"/>
      </w:pPr>
      <w:r>
        <w:rPr>
          <w:rFonts w:ascii="Arial" w:cs="Arial" w:eastAsia="Arial" w:hAnsi="Arial"/>
          <w:color w:val="1A2A3A"/>
          <w:sz w:val="20"/>
          <w:szCs w:val="20"/>
        </w:rPr>
        <w:t xml:space="preserve">The 2027 EW4All deadline is simultaneously achievable and insufficient. It is achievable in Malawi because the political commitment exists, the institutional architecture is in place, and the community structures for last-mile delivery — block leaders, traditional authorities, community radio networks — are already functional. It is insufficient because meeting the deadline in name while leaving A_action chronically suppressed constitutes a false assurance of safety.</w:t>
      </w:r>
    </w:p>
    <w:p>
      <w:pPr>
        <w:spacing w:before="0" w:after="60"/>
      </w:pPr>
      <w:r>
        <w:t xml:space="preserve"/>
      </w:r>
    </w:p>
    <w:p>
      <w:pPr>
        <w:spacing w:before="80" w:after="80" w:line="276"/>
        <w:jc w:val="both"/>
      </w:pPr>
      <w:r>
        <w:rPr>
          <w:rFonts w:ascii="Arial" w:cs="Arial" w:eastAsia="Arial" w:hAnsi="Arial"/>
          <w:color w:val="1A2A3A"/>
          <w:sz w:val="20"/>
          <w:szCs w:val="20"/>
        </w:rPr>
        <w:t xml:space="preserve">This roadmap's central argument is that E_warning = P_accuracy × C_coverage × A_action encodes a democratic demand: that early warning systems must be evaluated not at the satellite or the meteorological center, but at the moment when the village elder decides whether to ring the bell. All the AI in the world, all the DELTA analytics and IBF modeling, all the MNO API integrations — they reduce to zero if the person at the end of the chain does not understand the message, does not trust the institution issuing it, or does not know what to do.</w:t>
      </w:r>
    </w:p>
    <w:p>
      <w:pPr>
        <w:spacing w:before="0" w:after="60"/>
      </w:pPr>
      <w:r>
        <w:t xml:space="preserve"/>
      </w:r>
    </w:p>
    <w:p>
      <w:pPr>
        <w:spacing w:before="80" w:after="80" w:line="276"/>
        <w:jc w:val="both"/>
      </w:pPr>
      <w:r>
        <w:rPr>
          <w:rFonts w:ascii="Arial" w:cs="Arial" w:eastAsia="Arial" w:hAnsi="Arial"/>
          <w:color w:val="1A2A3A"/>
          <w:sz w:val="20"/>
          <w:szCs w:val="20"/>
        </w:rPr>
        <w:t xml:space="preserve">The last mile is not a technical problem. It is a language problem, a trust problem, a governance problem, and ultimately a justice problem — the recognition that the communities most exposed to climate hazards are also those most systematically excluded from the information systems designed to protect them. Solving it requires exactly the combination proposed here: DELTA's data precision, MNO's reach, indigenous knowledge's cultural legitimacy, and a budget architecture that bets on prevention rather than mourns destruction.</w:t>
      </w:r>
    </w:p>
    <w:p>
      <w:pPr>
        <w:spacing w:before="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A7A6E" w:sz="1"/>
              <w:left w:val="single" w:color="1A7A6E" w:sz="1"/>
              <w:bottom w:val="single" w:color="1A7A6E" w:sz="1"/>
              <w:right w:val="single" w:color="1A7A6E" w:sz="1"/>
            </w:tcBorders>
            <w:shd w:fill="E8F4F2" w:val="clear"/>
            <w:tcMar>
              <w:top w:type="dxa" w:w="140"/>
              <w:left w:type="dxa" w:w="280"/>
              <w:bottom w:type="dxa" w:w="140"/>
              <w:right w:type="dxa" w:w="280"/>
            </w:tcMar>
          </w:tcPr>
          <w:p>
            <w:pPr>
              <w:jc w:val="center"/>
            </w:pPr>
            <w:r>
              <w:rPr>
                <w:rFonts w:ascii="Courier New" w:cs="Courier New" w:eastAsia="Courier New" w:hAnsi="Courier New"/>
                <w:b/>
                <w:bCs/>
                <w:color w:val="1A3C5E"/>
                <w:sz w:val="24"/>
                <w:szCs w:val="24"/>
              </w:rPr>
              <w:t xml:space="preserve">Target by 2030:   E_warning = 0.85 × 0.90 × 0.72  =  0.55  —  A 7x improvement from baseline</w:t>
            </w:r>
          </w:p>
        </w:tc>
      </w:tr>
    </w:tbl>
    <w:p>
      <w:pPr>
        <w:spacing w:before="0" w:after="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Borders>
              <w:top w:val="single" w:color="1A3C5E" w:sz="1"/>
              <w:left w:val="single" w:color="1A3C5E" w:sz="1"/>
              <w:bottom w:val="single" w:color="1A3C5E" w:sz="1"/>
              <w:right w:val="single" w:color="1A3C5E" w:sz="1"/>
            </w:tcBorders>
            <w:shd w:fill="1A3C5E" w:val="clear"/>
            <w:tcMar>
              <w:top w:type="dxa" w:w="120"/>
              <w:left w:type="dxa" w:w="160"/>
              <w:bottom w:type="dxa" w:w="120"/>
              <w:right w:type="dxa" w:w="160"/>
            </w:tcMar>
            <w:vAlign w:val="center"/>
          </w:tcPr>
          <w:p>
            <w:pPr>
              <w:jc w:val="center"/>
            </w:pPr>
            <w:r>
              <w:rPr>
                <w:rFonts w:ascii="Arial" w:cs="Arial" w:eastAsia="Arial" w:hAnsi="Arial"/>
                <w:b/>
                <w:bCs/>
                <w:color w:val="FFFFFF"/>
                <w:sz w:val="18"/>
                <w:szCs w:val="18"/>
              </w:rPr>
              <w:t xml:space="preserve">FINAL NOTE</w:t>
            </w:r>
          </w:p>
        </w:tc>
        <w:tc>
          <w:tcPr>
            <w:tcBorders>
              <w:top w:val="single" w:color="1A3C5E" w:sz="1"/>
              <w:left w:val="single" w:color="1A3C5E" w:sz="1"/>
              <w:bottom w:val="single" w:color="1A3C5E" w:sz="1"/>
              <w:right w:val="single" w:color="1A3C5E" w:sz="1"/>
            </w:tcBorders>
            <w:shd w:fill="1A3C5E" w:val="clear"/>
            <w:tcMar>
              <w:top w:type="dxa" w:w="120"/>
              <w:left w:type="dxa" w:w="160"/>
              <w:bottom w:type="dxa" w:w="120"/>
              <w:right w:type="dxa" w:w="160"/>
            </w:tcMar>
          </w:tcPr>
          <w:p>
            <w:r>
              <w:rPr>
                <w:rFonts w:ascii="Arial" w:cs="Arial" w:eastAsia="Arial" w:hAnsi="Arial"/>
                <w:color w:val="1A2A3A"/>
                <w:sz w:val="20"/>
                <w:szCs w:val="20"/>
              </w:rPr>
              <w:t xml:space="preserve">Malawi's WMO Secretary-General called it a 'lighthouse.' This roadmap is the light source. The beam must reach every household — not just the coast.</w:t>
            </w:r>
          </w:p>
        </w:tc>
      </w:tr>
    </w:tbl>
    <w:p>
      <w:pPr>
        <w:spacing w:before="0" w:after="240"/>
      </w:pPr>
      <w:r>
        <w:t xml:space="preserve"/>
      </w:r>
    </w:p>
    <w:p>
      <w:r>
        <w:br w:type="page"/>
      </w:r>
    </w:p>
    <w:p>
      <w:pPr>
        <w:pStyle w:val="Heading2"/>
        <w:pBdr>
          <w:bottom w:val="single" w:color="1A7A6E" w:sz="4" w:space="4"/>
        </w:pBdr>
        <w:spacing w:before="280" w:after="120"/>
      </w:pPr>
      <w:r>
        <w:rPr>
          <w:rFonts w:ascii="Arial" w:cs="Arial" w:eastAsia="Arial" w:hAnsi="Arial"/>
          <w:b/>
          <w:bCs/>
          <w:color w:val="1A7A6E"/>
          <w:sz w:val="26"/>
          <w:szCs w:val="26"/>
        </w:rPr>
        <w:t xml:space="preserve">References and Data Sources</w:t>
      </w:r>
    </w:p>
    <w:p>
      <w:pPr>
        <w:pStyle w:val="ListParagraph"/>
        <w:numPr>
          <w:ilvl w:val="0"/>
          <w:numId w:val="2"/>
        </w:numPr>
        <w:spacing w:before="60" w:after="60"/>
      </w:pPr>
      <w:r>
        <w:rPr>
          <w:rFonts w:ascii="Arial" w:cs="Arial" w:eastAsia="Arial" w:hAnsi="Arial"/>
          <w:color w:val="1A2A3A"/>
          <w:sz w:val="20"/>
          <w:szCs w:val="20"/>
        </w:rPr>
        <w:t xml:space="preserve">UNDRR &amp; WMO (January 2026). Early Warnings for All — Monthly Updates. PreventionWeb.</w:t>
      </w:r>
    </w:p>
    <w:p>
      <w:pPr>
        <w:pStyle w:val="ListParagraph"/>
        <w:numPr>
          <w:ilvl w:val="0"/>
          <w:numId w:val="2"/>
        </w:numPr>
        <w:spacing w:before="60" w:after="60"/>
      </w:pPr>
      <w:r>
        <w:rPr>
          <w:rFonts w:ascii="Arial" w:cs="Arial" w:eastAsia="Arial" w:hAnsi="Arial"/>
          <w:color w:val="1A2A3A"/>
          <w:sz w:val="20"/>
          <w:szCs w:val="20"/>
        </w:rPr>
        <w:t xml:space="preserve">WMO (November 2025). Global Status of Multi-Hazard Early Warning Systems 2025. Launched at COP30, Belém.</w:t>
      </w:r>
    </w:p>
    <w:p>
      <w:pPr>
        <w:pStyle w:val="ListParagraph"/>
        <w:numPr>
          <w:ilvl w:val="0"/>
          <w:numId w:val="2"/>
        </w:numPr>
        <w:spacing w:before="60" w:after="60"/>
      </w:pPr>
      <w:r>
        <w:rPr>
          <w:rFonts w:ascii="Arial" w:cs="Arial" w:eastAsia="Arial" w:hAnsi="Arial"/>
          <w:color w:val="1A2A3A"/>
          <w:sz w:val="20"/>
          <w:szCs w:val="20"/>
        </w:rPr>
        <w:t xml:space="preserve">WMO (September 2025). Malawi Advances Early Warning Preparedness and Resilience. CREWS Mission Report.</w:t>
      </w:r>
    </w:p>
    <w:p>
      <w:pPr>
        <w:pStyle w:val="ListParagraph"/>
        <w:numPr>
          <w:ilvl w:val="0"/>
          <w:numId w:val="2"/>
        </w:numPr>
        <w:spacing w:before="60" w:after="60"/>
      </w:pPr>
      <w:r>
        <w:rPr>
          <w:rFonts w:ascii="Arial" w:cs="Arial" w:eastAsia="Arial" w:hAnsi="Arial"/>
          <w:color w:val="1A2A3A"/>
          <w:sz w:val="20"/>
          <w:szCs w:val="20"/>
        </w:rPr>
        <w:t xml:space="preserve">WMO (February 2026). Malawi Mobilizes Government and Community Commitment to Early Warnings. CREWS Mission.</w:t>
      </w:r>
    </w:p>
    <w:p>
      <w:pPr>
        <w:pStyle w:val="ListParagraph"/>
        <w:numPr>
          <w:ilvl w:val="0"/>
          <w:numId w:val="2"/>
        </w:numPr>
        <w:spacing w:before="60" w:after="60"/>
      </w:pPr>
      <w:r>
        <w:rPr>
          <w:rFonts w:ascii="Arial" w:cs="Arial" w:eastAsia="Arial" w:hAnsi="Arial"/>
          <w:color w:val="1A2A3A"/>
          <w:sz w:val="20"/>
          <w:szCs w:val="20"/>
        </w:rPr>
        <w:t xml:space="preserve">UNDRR (2024). Global Status of Multi-Hazard Early Warning Systems 2024. Case studies: Antigua &amp; Barbuda, Fiji, Ethiopia.</w:t>
      </w:r>
    </w:p>
    <w:p>
      <w:pPr>
        <w:pStyle w:val="ListParagraph"/>
        <w:numPr>
          <w:ilvl w:val="0"/>
          <w:numId w:val="2"/>
        </w:numPr>
        <w:spacing w:before="60" w:after="60"/>
      </w:pPr>
      <w:r>
        <w:rPr>
          <w:rFonts w:ascii="Arial" w:cs="Arial" w:eastAsia="Arial" w:hAnsi="Arial"/>
          <w:color w:val="1A2A3A"/>
          <w:sz w:val="20"/>
          <w:szCs w:val="20"/>
        </w:rPr>
        <w:t xml:space="preserve">TAHMO / HKV (January 2026). Southern Africa SEWA Scoping Study Workshop Outcomes. Johannesburg.</w:t>
      </w:r>
    </w:p>
    <w:p>
      <w:pPr>
        <w:pStyle w:val="ListParagraph"/>
        <w:numPr>
          <w:ilvl w:val="0"/>
          <w:numId w:val="2"/>
        </w:numPr>
        <w:spacing w:before="60" w:after="60"/>
      </w:pPr>
      <w:r>
        <w:rPr>
          <w:rFonts w:ascii="Arial" w:cs="Arial" w:eastAsia="Arial" w:hAnsi="Arial"/>
          <w:color w:val="1A2A3A"/>
          <w:sz w:val="20"/>
          <w:szCs w:val="20"/>
        </w:rPr>
        <w:t xml:space="preserve">UNDP / LDC Fund. Climate Information and Early Warning Systems in Malawi — Project Document.</w:t>
      </w:r>
    </w:p>
    <w:p>
      <w:pPr>
        <w:pStyle w:val="ListParagraph"/>
        <w:numPr>
          <w:ilvl w:val="0"/>
          <w:numId w:val="2"/>
        </w:numPr>
        <w:spacing w:before="60" w:after="60"/>
      </w:pPr>
      <w:r>
        <w:rPr>
          <w:rFonts w:ascii="Arial" w:cs="Arial" w:eastAsia="Arial" w:hAnsi="Arial"/>
          <w:color w:val="1A2A3A"/>
          <w:sz w:val="20"/>
          <w:szCs w:val="20"/>
        </w:rPr>
        <w:t xml:space="preserve">UN-OHRLLS &amp; UNDRR. Status of Multi-Hazard Early Warning Systems in the Least Developed Countries.</w:t>
      </w:r>
    </w:p>
    <w:p>
      <w:pPr>
        <w:pStyle w:val="ListParagraph"/>
        <w:numPr>
          <w:ilvl w:val="0"/>
          <w:numId w:val="2"/>
        </w:numPr>
        <w:spacing w:before="60" w:after="60"/>
      </w:pPr>
      <w:r>
        <w:rPr>
          <w:rFonts w:ascii="Arial" w:cs="Arial" w:eastAsia="Arial" w:hAnsi="Arial"/>
          <w:color w:val="1A2A3A"/>
          <w:sz w:val="20"/>
          <w:szCs w:val="20"/>
        </w:rPr>
        <w:t xml:space="preserve">UNDRR (October 2025). Djibouti — Risk Knowledge Workshop for Impact-Based Forecasting. CIMA Research Foundation.</w:t>
      </w:r>
    </w:p>
    <w:p>
      <w:pPr>
        <w:pStyle w:val="ListParagraph"/>
        <w:numPr>
          <w:ilvl w:val="0"/>
          <w:numId w:val="2"/>
        </w:numPr>
        <w:spacing w:before="60" w:after="60"/>
      </w:pPr>
      <w:r>
        <w:rPr>
          <w:rFonts w:ascii="Arial" w:cs="Arial" w:eastAsia="Arial" w:hAnsi="Arial"/>
          <w:color w:val="1A2A3A"/>
          <w:sz w:val="20"/>
          <w:szCs w:val="20"/>
        </w:rPr>
        <w:t xml:space="preserve">IFRC (2025–2026). Malawi Country Plan — Early Warning and Early Action Initiatives.</w:t>
      </w:r>
    </w:p>
    <w:p>
      <w:pPr>
        <w:pStyle w:val="ListParagraph"/>
        <w:numPr>
          <w:ilvl w:val="0"/>
          <w:numId w:val="2"/>
        </w:numPr>
        <w:spacing w:before="60" w:after="60"/>
      </w:pPr>
      <w:r>
        <w:rPr>
          <w:rFonts w:ascii="Arial" w:cs="Arial" w:eastAsia="Arial" w:hAnsi="Arial"/>
          <w:color w:val="1A2A3A"/>
          <w:sz w:val="20"/>
          <w:szCs w:val="20"/>
        </w:rPr>
        <w:t xml:space="preserve">Sendai Framework for Disaster Risk Reduction 2015–2030. Priority 3: Investing in Disaster Risk Reduction.</w:t>
      </w:r>
    </w:p>
    <w:p>
      <w:pPr>
        <w:spacing w:before="0" w:after="120"/>
      </w:pPr>
      <w:r>
        <w:t xml:space="preserve"/>
      </w:r>
    </w:p>
    <w:sectPr>
      <w:headerReference w:type="default" r:id="rId6"/>
      <w:footerReference w:type="default" r:id="rId7"/>
      <w:pgSz w:w="12240" w:h="15840" w:orient="portrait"/>
      <w:pgMar w:top="1260" w:right="1260" w:bottom="126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7A6E" w:sz="4" w:space="4"/>
      </w:pBdr>
      <w:tabs>
        <w:tab w:val="right" w:pos="9360"/>
      </w:tabs>
      <w:spacing w:before="80"/>
    </w:pPr>
    <w:r>
      <w:rPr>
        <w:rFonts w:ascii="Arial" w:cs="Arial" w:eastAsia="Arial" w:hAnsi="Arial"/>
        <w:color w:val="5A6A7A"/>
        <w:sz w:val="16"/>
        <w:szCs w:val="16"/>
      </w:rPr>
      <w:t xml:space="preserve">© 2026 Strategic Assignment | DRR &amp; Inclusive Resilience</w:t>
    </w:r>
    <w:r>
      <w:rPr>
        <w:rFonts w:ascii="Arial" w:cs="Arial" w:eastAsia="Arial" w:hAnsi="Arial"/>
        <w:color w:val="5A6A7A"/>
        <w:sz w:val="16"/>
        <w:szCs w:val="16"/>
      </w:rPr>
      <w:t xml:space="preserve">	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6E" w:sz="4" w:space="4"/>
      </w:pBdr>
      <w:spacing w:after="80"/>
    </w:pPr>
    <w:r>
      <w:rPr>
        <w:rFonts w:ascii="Arial" w:cs="Arial" w:eastAsia="Arial" w:hAnsi="Arial"/>
        <w:b/>
        <w:bCs/>
        <w:color w:val="1A3C5E"/>
        <w:sz w:val="18"/>
        <w:szCs w:val="18"/>
      </w:rPr>
      <w:t xml:space="preserve">EW4ALL 2027 LAST-MILE IMPLEMENTATION ROADMAP — MALAWI</w:t>
    </w:r>
    <w:r>
      <w:rPr>
        <w:rFonts w:ascii="Arial" w:cs="Arial" w:eastAsia="Arial" w:hAnsi="Arial"/>
        <w:color w:val="5A6A7A"/>
        <w:sz w:val="18"/>
        <w:szCs w:val="18"/>
      </w:rPr>
      <w:t xml:space="preserve">  |  Digital Governance &amp; Inclusive Resilience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20" w:hanging="260"/>
      </w:pPr>
    </w:lvl>
    <w:lvl w:ilvl="1" w15:tentative="1">
      <w:start w:val="1"/>
      <w:numFmt w:val="bullet"/>
      <w:lvlText w:val="○"/>
      <w:lvlJc w:val="left"/>
      <w:pPr>
        <w:ind w:left="88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60"/>
      <w:outlineLvl w:val="0"/>
    </w:pPr>
    <w:rPr>
      <w:rFonts w:ascii="Arial" w:cs="Arial" w:eastAsia="Arial" w:hAnsi="Arial"/>
      <w:b/>
      <w:bCs/>
      <w:color w:val="1A3C5E"/>
      <w:sz w:val="32"/>
      <w:szCs w:val="32"/>
    </w:rPr>
  </w:style>
  <w:style w:type="paragraph" w:styleId="Heading2">
    <w:name w:val="Heading 2"/>
    <w:basedOn w:val="Normal"/>
    <w:next w:val="Normal"/>
    <w:qFormat/>
    <w:pPr>
      <w:spacing w:before="280" w:after="120"/>
      <w:outlineLvl w:val="1"/>
    </w:pPr>
    <w:rPr>
      <w:rFonts w:ascii="Arial" w:cs="Arial" w:eastAsia="Arial" w:hAnsi="Arial"/>
      <w:b/>
      <w:bCs/>
      <w:color w:val="1A7A6E"/>
      <w:sz w:val="26"/>
      <w:szCs w:val="26"/>
    </w:rPr>
  </w:style>
  <w:style w:type="paragraph" w:styleId="Heading3">
    <w:name w:val="Heading 3"/>
    <w:basedOn w:val="Normal"/>
    <w:next w:val="Normal"/>
    <w:qFormat/>
    <w:pPr>
      <w:spacing w:before="200" w:after="80"/>
      <w:outlineLvl w:val="2"/>
    </w:pPr>
    <w:rPr>
      <w:rFonts w:ascii="Arial" w:cs="Arial" w:eastAsia="Arial" w:hAnsi="Arial"/>
      <w:b/>
      <w:bCs/>
      <w:color w:val="E07B39"/>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2026-03-19T17:56:39.988Z</dcterms:created>
  <dcterms:modified xsi:type="dcterms:W3CDTF">2026-03-19T17:56:39.990Z</dcterms:modified>
</cp:coreProperties>
</file>

<file path=docProps/custom.xml><?xml version="1.0" encoding="utf-8"?>
<Properties xmlns="http://schemas.openxmlformats.org/officeDocument/2006/custom-properties" xmlns:vt="http://schemas.openxmlformats.org/officeDocument/2006/docPropsVTypes"/>
</file>